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0B8E" w:rsidRDefault="00E00B8E">
      <w:pPr>
        <w:pStyle w:val="entete1"/>
        <w:spacing w:after="60"/>
        <w:ind w:right="0"/>
        <w:jc w:val="left"/>
        <w:rPr>
          <w:rFonts w:ascii="Marianne" w:hAnsi="Marianne"/>
          <w:b/>
          <w:bCs/>
          <w:i/>
          <w:iCs/>
          <w:color w:val="000000"/>
          <w:sz w:val="20"/>
        </w:rPr>
      </w:pPr>
      <w:r>
        <w:rPr>
          <w:rFonts w:ascii="Marianne" w:hAnsi="Marianne"/>
          <w:noProof/>
        </w:rPr>
        <w:drawing>
          <wp:anchor distT="0" distB="0" distL="114300" distR="114300" simplePos="0" relativeHeight="251658752" behindDoc="1" locked="0" layoutInCell="1" allowOverlap="1">
            <wp:simplePos x="0" y="0"/>
            <wp:positionH relativeFrom="margin">
              <wp:align>left</wp:align>
            </wp:positionH>
            <wp:positionV relativeFrom="margin">
              <wp:posOffset>-454025</wp:posOffset>
            </wp:positionV>
            <wp:extent cx="1362710" cy="948690"/>
            <wp:effectExtent l="0" t="0" r="8890" b="3810"/>
            <wp:wrapSquare wrapText="bothSides"/>
            <wp:docPr id="2"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5"/>
                    <pic:cNvPicPr>
                      <a:picLocks noChangeAspect="1"/>
                    </pic:cNvPicPr>
                  </pic:nvPicPr>
                  <pic:blipFill>
                    <a:blip r:embed="rId8"/>
                    <a:stretch/>
                  </pic:blipFill>
                  <pic:spPr bwMode="auto">
                    <a:xfrm>
                      <a:off x="0" y="0"/>
                      <a:ext cx="1362710" cy="948690"/>
                    </a:xfrm>
                    <a:prstGeom prst="rect">
                      <a:avLst/>
                    </a:prstGeom>
                  </pic:spPr>
                </pic:pic>
              </a:graphicData>
            </a:graphic>
            <wp14:sizeRelH relativeFrom="margin">
              <wp14:pctWidth>0</wp14:pctWidth>
            </wp14:sizeRelH>
            <wp14:sizeRelV relativeFrom="margin">
              <wp14:pctHeight>0</wp14:pctHeight>
            </wp14:sizeRelV>
          </wp:anchor>
        </w:drawing>
      </w:r>
    </w:p>
    <w:p w:rsidR="00E00B8E" w:rsidRDefault="00E00B8E">
      <w:pPr>
        <w:pStyle w:val="entete1"/>
        <w:spacing w:after="60"/>
        <w:ind w:right="0"/>
        <w:jc w:val="left"/>
        <w:rPr>
          <w:rFonts w:ascii="Marianne" w:hAnsi="Marianne"/>
          <w:b/>
          <w:bCs/>
          <w:i/>
          <w:iCs/>
          <w:color w:val="000000"/>
          <w:sz w:val="20"/>
        </w:rPr>
      </w:pPr>
    </w:p>
    <w:p w:rsidR="002C06B7" w:rsidRDefault="00C33788">
      <w:pPr>
        <w:pStyle w:val="entete1"/>
        <w:spacing w:after="60"/>
        <w:ind w:right="0"/>
        <w:jc w:val="left"/>
        <w:rPr>
          <w:rFonts w:ascii="Marianne" w:hAnsi="Marianne"/>
          <w:b/>
          <w:bCs/>
          <w:i/>
          <w:iCs/>
          <w:color w:val="000000"/>
          <w:sz w:val="20"/>
        </w:rPr>
      </w:pPr>
      <w:r>
        <w:rPr>
          <w:rFonts w:ascii="Marianne" w:hAnsi="Marianne"/>
          <w:noProof/>
        </w:rPr>
        <mc:AlternateContent>
          <mc:Choice Requires="wps">
            <w:drawing>
              <wp:anchor distT="0" distB="0" distL="114935" distR="114935" simplePos="0" relativeHeight="251658240" behindDoc="0" locked="0" layoutInCell="1" allowOverlap="1">
                <wp:simplePos x="0" y="0"/>
                <wp:positionH relativeFrom="column">
                  <wp:posOffset>2721610</wp:posOffset>
                </wp:positionH>
                <wp:positionV relativeFrom="paragraph">
                  <wp:posOffset>-554990</wp:posOffset>
                </wp:positionV>
                <wp:extent cx="2218690" cy="690245"/>
                <wp:effectExtent l="4445" t="2540" r="0" b="254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8690" cy="690245"/>
                        </a:xfrm>
                        <a:prstGeom prst="rect">
                          <a:avLst/>
                        </a:prstGeom>
                        <a:solidFill>
                          <a:srgbClr val="FFFFFF"/>
                        </a:solidFill>
                        <a:ln>
                          <a:noFill/>
                        </a:ln>
                      </wps:spPr>
                      <wps:txbx>
                        <w:txbxContent>
                          <w:p w:rsidR="00C33788" w:rsidRDefault="00C33788">
                            <w:pPr>
                              <w:jc w:val="right"/>
                            </w:pPr>
                            <w:r>
                              <w:rPr>
                                <w:rFonts w:cs="Marianne"/>
                                <w:sz w:val="28"/>
                                <w:szCs w:val="28"/>
                              </w:rPr>
                              <w:t>Secrétariat général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214.3pt;margin-top:-43.7pt;width:174.7pt;height:54.35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" stroked="f">
                <v:textbox inset="0,0,0,0">
                  <w:txbxContent>
                    <w:p w:rsidR="00C33788" w:rsidRDefault="00C33788">
                      <w:pPr>
                        <w:jc w:val="right"/>
                      </w:pPr>
                      <w:r>
                        <w:rPr>
                          <w:rFonts w:cs="Marianne"/>
                          <w:sz w:val="28"/>
                          <w:szCs w:val="28"/>
                        </w:rPr>
                        <w:t>Secrétariat général</w:t>
                      </w:r>
                    </w:p>
                  </w:txbxContent>
                </v:textbox>
              </v:shape>
            </w:pict>
          </mc:Fallback>
        </mc:AlternateContent>
      </w:r>
    </w:p>
    <w:p w:rsidR="002C06B7" w:rsidRDefault="002C06B7">
      <w:pPr>
        <w:rPr>
          <w:szCs w:val="22"/>
        </w:rPr>
      </w:pPr>
    </w:p>
    <w:p w:rsidR="002C06B7" w:rsidRDefault="00C33788">
      <w:pPr>
        <w:spacing w:before="0" w:after="0"/>
        <w:jc w:val="center"/>
        <w:rPr>
          <w:rFonts w:cs="Calibri"/>
          <w:b/>
          <w:szCs w:val="22"/>
        </w:rPr>
      </w:pPr>
      <w:r>
        <w:rPr>
          <w:rFonts w:cs="Calibri"/>
          <w:b/>
          <w:szCs w:val="22"/>
        </w:rPr>
        <w:t xml:space="preserve">Ministère de l'Intérieur </w:t>
      </w:r>
    </w:p>
    <w:p w:rsidR="002C06B7" w:rsidRDefault="00C33788">
      <w:pPr>
        <w:spacing w:before="0" w:after="0"/>
        <w:jc w:val="center"/>
        <w:rPr>
          <w:rFonts w:cs="Calibri"/>
          <w:szCs w:val="22"/>
        </w:rPr>
      </w:pPr>
      <w:r>
        <w:rPr>
          <w:rFonts w:cs="Calibri"/>
          <w:szCs w:val="22"/>
        </w:rPr>
        <w:t>Direction de l’évaluation, de la performance, de l’achat, des finances et de l’immobilier</w:t>
      </w:r>
    </w:p>
    <w:p w:rsidR="002C06B7" w:rsidRDefault="00C33788">
      <w:pPr>
        <w:spacing w:before="0" w:after="0"/>
        <w:jc w:val="center"/>
        <w:rPr>
          <w:rFonts w:cs="Calibri"/>
          <w:szCs w:val="22"/>
        </w:rPr>
      </w:pPr>
      <w:r>
        <w:rPr>
          <w:rFonts w:cs="Calibri"/>
          <w:szCs w:val="22"/>
        </w:rPr>
        <w:t>Service de l’achat, de l’innovation et de la logistique du ministère de l’Intérieur</w:t>
      </w:r>
    </w:p>
    <w:p w:rsidR="002C06B7" w:rsidRDefault="00C33788">
      <w:pPr>
        <w:spacing w:before="0" w:after="0"/>
        <w:jc w:val="center"/>
        <w:rPr>
          <w:rFonts w:cs="Calibri"/>
          <w:szCs w:val="22"/>
        </w:rPr>
      </w:pPr>
      <w:r>
        <w:rPr>
          <w:rFonts w:cs="Calibri"/>
          <w:szCs w:val="22"/>
        </w:rPr>
        <w:t>Sous-direction de l’achat et du suivi de l’exécution des marches</w:t>
      </w:r>
    </w:p>
    <w:p w:rsidR="002C06B7" w:rsidRDefault="00C33788">
      <w:pPr>
        <w:spacing w:before="0" w:after="0"/>
        <w:jc w:val="center"/>
        <w:rPr>
          <w:rFonts w:cs="Calibri"/>
          <w:szCs w:val="22"/>
        </w:rPr>
      </w:pPr>
      <w:r>
        <w:rPr>
          <w:rFonts w:cs="Calibri"/>
          <w:szCs w:val="22"/>
        </w:rPr>
        <w:t>Bureau des achats immobiliers et prestations</w:t>
      </w:r>
    </w:p>
    <w:p w:rsidR="002C06B7" w:rsidRDefault="002C06B7">
      <w:pPr>
        <w:spacing w:before="0" w:after="0"/>
        <w:jc w:val="center"/>
        <w:rPr>
          <w:rFonts w:cs="Calibri"/>
          <w:szCs w:val="22"/>
        </w:rPr>
      </w:pPr>
    </w:p>
    <w:p w:rsidR="002C06B7" w:rsidRDefault="00C33788">
      <w:pPr>
        <w:spacing w:before="0" w:after="0"/>
        <w:jc w:val="center"/>
        <w:rPr>
          <w:rFonts w:cs="Calibri"/>
          <w:szCs w:val="22"/>
        </w:rPr>
      </w:pPr>
      <w:r>
        <w:rPr>
          <w:rFonts w:cs="Calibri"/>
          <w:szCs w:val="22"/>
        </w:rPr>
        <w:t>Place Beauvau – immeuble Lumière</w:t>
      </w:r>
    </w:p>
    <w:p w:rsidR="002C06B7" w:rsidRDefault="00C33788">
      <w:pPr>
        <w:spacing w:before="0" w:after="0"/>
        <w:jc w:val="center"/>
        <w:rPr>
          <w:rFonts w:cs="Calibri"/>
          <w:szCs w:val="22"/>
        </w:rPr>
      </w:pPr>
      <w:r>
        <w:rPr>
          <w:rFonts w:cs="Calibri"/>
          <w:szCs w:val="22"/>
        </w:rPr>
        <w:t>75800 – Paris cedex 08</w:t>
      </w:r>
    </w:p>
    <w:p w:rsidR="002C06B7" w:rsidRDefault="002C06B7">
      <w:pPr>
        <w:spacing w:before="0" w:after="0"/>
        <w:jc w:val="center"/>
        <w:rPr>
          <w:rFonts w:cs="Calibri"/>
          <w:szCs w:val="22"/>
        </w:rPr>
      </w:pPr>
    </w:p>
    <w:p w:rsidR="002C06B7" w:rsidRDefault="00C33788">
      <w:pPr>
        <w:pBdr>
          <w:top w:val="single" w:sz="6" w:space="1" w:color="000000"/>
          <w:left w:val="single" w:sz="6" w:space="31" w:color="000000"/>
          <w:bottom w:val="single" w:sz="6" w:space="1" w:color="000000"/>
          <w:right w:val="single" w:sz="6" w:space="31" w:color="000000"/>
        </w:pBdr>
        <w:shd w:val="pct5" w:color="auto" w:fill="auto"/>
        <w:tabs>
          <w:tab w:val="left" w:pos="6804"/>
        </w:tabs>
        <w:spacing w:before="0" w:after="0"/>
        <w:ind w:left="902" w:right="902"/>
        <w:jc w:val="center"/>
        <w:rPr>
          <w:b/>
          <w:smallCaps/>
          <w:szCs w:val="22"/>
          <w:lang w:eastAsia="en-US"/>
        </w:rPr>
      </w:pPr>
      <w:r>
        <w:rPr>
          <w:b/>
          <w:smallCaps/>
          <w:szCs w:val="22"/>
          <w:lang w:eastAsia="en-US"/>
        </w:rPr>
        <w:t>Règlement de consultation (RC)</w:t>
      </w:r>
    </w:p>
    <w:p w:rsidR="002C06B7" w:rsidRDefault="002C06B7">
      <w:pPr>
        <w:pBdr>
          <w:top w:val="single" w:sz="6" w:space="1" w:color="000000"/>
          <w:left w:val="single" w:sz="6" w:space="31" w:color="000000"/>
          <w:bottom w:val="single" w:sz="6" w:space="1" w:color="000000"/>
          <w:right w:val="single" w:sz="6" w:space="31" w:color="000000"/>
        </w:pBdr>
        <w:shd w:val="pct5" w:color="auto" w:fill="auto"/>
        <w:tabs>
          <w:tab w:val="left" w:pos="6804"/>
        </w:tabs>
        <w:spacing w:before="0" w:after="100" w:afterAutospacing="1"/>
        <w:ind w:left="902" w:right="902"/>
        <w:jc w:val="center"/>
        <w:rPr>
          <w:b/>
          <w:caps/>
          <w:szCs w:val="22"/>
          <w:lang w:eastAsia="en-US"/>
        </w:rPr>
      </w:pPr>
    </w:p>
    <w:p w:rsidR="002C06B7" w:rsidRDefault="00C33788">
      <w:pPr>
        <w:pBdr>
          <w:top w:val="single" w:sz="6" w:space="1" w:color="000000"/>
          <w:left w:val="single" w:sz="6" w:space="31" w:color="000000"/>
          <w:bottom w:val="single" w:sz="6" w:space="1" w:color="000000"/>
          <w:right w:val="single" w:sz="6" w:space="31" w:color="000000"/>
        </w:pBdr>
        <w:shd w:val="pct5" w:color="auto" w:fill="auto"/>
        <w:tabs>
          <w:tab w:val="left" w:pos="6804"/>
        </w:tabs>
        <w:spacing w:before="0" w:after="100" w:afterAutospacing="1"/>
        <w:ind w:left="902" w:right="902"/>
        <w:jc w:val="center"/>
        <w:rPr>
          <w:b/>
          <w:bCs/>
          <w:caps/>
          <w:szCs w:val="22"/>
          <w:lang w:eastAsia="en-US"/>
        </w:rPr>
      </w:pPr>
      <w:r>
        <w:rPr>
          <w:b/>
          <w:bCs/>
          <w:caps/>
          <w:szCs w:val="22"/>
          <w:lang w:eastAsia="en-US"/>
        </w:rPr>
        <w:t>Accord-cadre relatif à la réalisation et la diffusion de panoramas de presse biquotidiens, de synthèses de presse numériques à partir de la presse quotidienne nationale et régionale, des magazines, des médias TV/radio en ligne, de la presse spécialisée et des pure player sur les thématiques du ministère de l’Intérieur</w:t>
      </w:r>
    </w:p>
    <w:p w:rsidR="002C06B7" w:rsidRDefault="002C06B7">
      <w:pPr>
        <w:spacing w:before="0" w:after="0"/>
        <w:rPr>
          <w:szCs w:val="22"/>
        </w:rPr>
      </w:pPr>
    </w:p>
    <w:p w:rsidR="002C06B7" w:rsidRDefault="00C33788">
      <w:pPr>
        <w:pStyle w:val="2Centr"/>
      </w:pPr>
      <w:r>
        <w:rPr>
          <w:rFonts w:cs="Arial"/>
        </w:rPr>
        <w:t xml:space="preserve">Le présent RC comporte </w:t>
      </w:r>
      <w:r>
        <w:t>les annexes suivantes :</w:t>
      </w:r>
    </w:p>
    <w:p w:rsidR="002C06B7" w:rsidRDefault="002C06B7">
      <w:pPr>
        <w:pStyle w:val="2Centr"/>
      </w:pPr>
    </w:p>
    <w:tbl>
      <w:tblPr>
        <w:tblW w:w="0" w:type="auto"/>
        <w:jc w:val="center"/>
        <w:tblBorders>
          <w:top w:val="single" w:sz="4" w:space="0" w:color="auto"/>
          <w:bottom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79"/>
        <w:gridCol w:w="7153"/>
      </w:tblGrid>
      <w:tr w:rsidR="002C06B7">
        <w:trPr>
          <w:jc w:val="center"/>
        </w:trPr>
        <w:tc>
          <w:tcPr>
            <w:tcW w:w="0" w:type="auto"/>
            <w:vAlign w:val="center"/>
          </w:tcPr>
          <w:p w:rsidR="002C06B7" w:rsidRDefault="00C33788">
            <w:pPr>
              <w:spacing w:before="60" w:after="60"/>
              <w:jc w:val="center"/>
              <w:rPr>
                <w:bCs/>
                <w:color w:val="000000"/>
                <w:szCs w:val="22"/>
              </w:rPr>
            </w:pPr>
            <w:r>
              <w:rPr>
                <w:bCs/>
                <w:color w:val="000000"/>
                <w:szCs w:val="22"/>
              </w:rPr>
              <w:t>Annexe I</w:t>
            </w:r>
          </w:p>
        </w:tc>
        <w:tc>
          <w:tcPr>
            <w:tcW w:w="0" w:type="auto"/>
            <w:vAlign w:val="center"/>
          </w:tcPr>
          <w:p w:rsidR="002C06B7" w:rsidRDefault="00C33788">
            <w:pPr>
              <w:spacing w:before="60" w:after="60"/>
              <w:jc w:val="left"/>
              <w:rPr>
                <w:bCs/>
                <w:color w:val="000000"/>
                <w:szCs w:val="22"/>
              </w:rPr>
            </w:pPr>
            <w:r>
              <w:rPr>
                <w:bCs/>
                <w:color w:val="000000"/>
                <w:szCs w:val="22"/>
              </w:rPr>
              <w:t>Modalités de retrait du dossier de consultation et de remise du pli</w:t>
            </w:r>
          </w:p>
        </w:tc>
      </w:tr>
      <w:tr w:rsidR="002C06B7">
        <w:trPr>
          <w:jc w:val="center"/>
        </w:trPr>
        <w:tc>
          <w:tcPr>
            <w:tcW w:w="0" w:type="auto"/>
            <w:vAlign w:val="center"/>
          </w:tcPr>
          <w:p w:rsidR="002C06B7" w:rsidRDefault="00C33788">
            <w:pPr>
              <w:spacing w:before="60" w:after="60"/>
              <w:jc w:val="center"/>
              <w:rPr>
                <w:bCs/>
                <w:color w:val="000000"/>
                <w:szCs w:val="22"/>
              </w:rPr>
            </w:pPr>
            <w:r>
              <w:rPr>
                <w:bCs/>
                <w:color w:val="000000"/>
                <w:szCs w:val="22"/>
              </w:rPr>
              <w:t>Annexe II</w:t>
            </w:r>
          </w:p>
        </w:tc>
        <w:tc>
          <w:tcPr>
            <w:tcW w:w="0" w:type="auto"/>
            <w:vAlign w:val="center"/>
          </w:tcPr>
          <w:p w:rsidR="002C06B7" w:rsidRDefault="00C33788">
            <w:pPr>
              <w:spacing w:before="60" w:after="60"/>
              <w:jc w:val="left"/>
              <w:rPr>
                <w:bCs/>
                <w:color w:val="000000"/>
                <w:szCs w:val="22"/>
              </w:rPr>
            </w:pPr>
            <w:r>
              <w:rPr>
                <w:bCs/>
                <w:color w:val="000000"/>
                <w:szCs w:val="22"/>
              </w:rPr>
              <w:t>Modalités de signature électronique</w:t>
            </w:r>
          </w:p>
        </w:tc>
      </w:tr>
      <w:tr w:rsidR="002C06B7">
        <w:trPr>
          <w:jc w:val="center"/>
        </w:trPr>
        <w:tc>
          <w:tcPr>
            <w:tcW w:w="0" w:type="auto"/>
            <w:vAlign w:val="center"/>
          </w:tcPr>
          <w:p w:rsidR="002C06B7" w:rsidRDefault="00C33788">
            <w:pPr>
              <w:spacing w:before="60" w:after="60"/>
              <w:jc w:val="center"/>
              <w:rPr>
                <w:bCs/>
                <w:color w:val="000000"/>
                <w:szCs w:val="22"/>
              </w:rPr>
            </w:pPr>
            <w:r>
              <w:rPr>
                <w:bCs/>
                <w:color w:val="000000"/>
                <w:szCs w:val="22"/>
              </w:rPr>
              <w:t>Annexe III</w:t>
            </w:r>
          </w:p>
        </w:tc>
        <w:tc>
          <w:tcPr>
            <w:tcW w:w="0" w:type="auto"/>
            <w:vAlign w:val="center"/>
          </w:tcPr>
          <w:p w:rsidR="002C06B7" w:rsidRDefault="00C33788">
            <w:pPr>
              <w:spacing w:before="60" w:after="60"/>
              <w:jc w:val="left"/>
              <w:rPr>
                <w:bCs/>
                <w:color w:val="000000"/>
                <w:szCs w:val="22"/>
              </w:rPr>
            </w:pPr>
            <w:r>
              <w:rPr>
                <w:bCs/>
                <w:color w:val="000000"/>
                <w:szCs w:val="22"/>
              </w:rPr>
              <w:t>Formulaire DC1</w:t>
            </w:r>
          </w:p>
        </w:tc>
      </w:tr>
      <w:tr w:rsidR="002C06B7">
        <w:trPr>
          <w:jc w:val="center"/>
        </w:trPr>
        <w:tc>
          <w:tcPr>
            <w:tcW w:w="0" w:type="auto"/>
            <w:vAlign w:val="center"/>
          </w:tcPr>
          <w:p w:rsidR="002C06B7" w:rsidRDefault="00C33788">
            <w:pPr>
              <w:spacing w:before="60" w:after="60"/>
              <w:jc w:val="center"/>
              <w:rPr>
                <w:bCs/>
                <w:color w:val="000000"/>
                <w:szCs w:val="22"/>
              </w:rPr>
            </w:pPr>
            <w:r>
              <w:rPr>
                <w:bCs/>
                <w:color w:val="000000"/>
                <w:szCs w:val="22"/>
              </w:rPr>
              <w:t>Annexe IV</w:t>
            </w:r>
          </w:p>
        </w:tc>
        <w:tc>
          <w:tcPr>
            <w:tcW w:w="0" w:type="auto"/>
            <w:vAlign w:val="center"/>
          </w:tcPr>
          <w:p w:rsidR="002C06B7" w:rsidRDefault="00C33788">
            <w:pPr>
              <w:spacing w:before="60" w:after="60"/>
              <w:jc w:val="left"/>
              <w:rPr>
                <w:bCs/>
                <w:color w:val="000000"/>
                <w:szCs w:val="22"/>
              </w:rPr>
            </w:pPr>
            <w:r>
              <w:rPr>
                <w:bCs/>
                <w:color w:val="000000"/>
                <w:szCs w:val="22"/>
              </w:rPr>
              <w:t>Formulaire DC2</w:t>
            </w:r>
          </w:p>
        </w:tc>
      </w:tr>
      <w:tr w:rsidR="002C06B7">
        <w:trPr>
          <w:jc w:val="center"/>
        </w:trPr>
        <w:tc>
          <w:tcPr>
            <w:tcW w:w="0" w:type="auto"/>
            <w:vAlign w:val="center"/>
          </w:tcPr>
          <w:p w:rsidR="002C06B7" w:rsidRDefault="00C33788">
            <w:pPr>
              <w:spacing w:before="60" w:after="60"/>
              <w:jc w:val="center"/>
              <w:rPr>
                <w:bCs/>
                <w:color w:val="000000"/>
                <w:szCs w:val="22"/>
              </w:rPr>
            </w:pPr>
            <w:r>
              <w:rPr>
                <w:bCs/>
                <w:color w:val="000000"/>
                <w:szCs w:val="22"/>
              </w:rPr>
              <w:t>Annexe V</w:t>
            </w:r>
          </w:p>
        </w:tc>
        <w:tc>
          <w:tcPr>
            <w:tcW w:w="0" w:type="auto"/>
            <w:vAlign w:val="center"/>
          </w:tcPr>
          <w:p w:rsidR="002C06B7" w:rsidRDefault="00C33788">
            <w:pPr>
              <w:spacing w:before="60" w:after="60"/>
              <w:jc w:val="left"/>
              <w:rPr>
                <w:bCs/>
                <w:color w:val="000000"/>
                <w:szCs w:val="22"/>
              </w:rPr>
            </w:pPr>
            <w:r>
              <w:rPr>
                <w:bCs/>
                <w:color w:val="000000"/>
                <w:szCs w:val="22"/>
              </w:rPr>
              <w:t>Formulaire DC4</w:t>
            </w:r>
          </w:p>
        </w:tc>
      </w:tr>
      <w:tr w:rsidR="002C06B7">
        <w:trPr>
          <w:jc w:val="center"/>
        </w:trPr>
        <w:tc>
          <w:tcPr>
            <w:tcW w:w="0" w:type="auto"/>
            <w:vAlign w:val="center"/>
          </w:tcPr>
          <w:p w:rsidR="002C06B7" w:rsidRDefault="00C33788">
            <w:pPr>
              <w:spacing w:before="60" w:after="60"/>
              <w:jc w:val="center"/>
              <w:rPr>
                <w:bCs/>
                <w:color w:val="000000"/>
                <w:szCs w:val="22"/>
              </w:rPr>
            </w:pPr>
            <w:r>
              <w:rPr>
                <w:bCs/>
                <w:color w:val="000000"/>
                <w:szCs w:val="22"/>
              </w:rPr>
              <w:t>Annexe VI</w:t>
            </w:r>
          </w:p>
        </w:tc>
        <w:tc>
          <w:tcPr>
            <w:tcW w:w="0" w:type="auto"/>
            <w:vAlign w:val="center"/>
          </w:tcPr>
          <w:p w:rsidR="002C06B7" w:rsidRDefault="00C33788">
            <w:pPr>
              <w:spacing w:before="60" w:after="60"/>
              <w:jc w:val="left"/>
              <w:rPr>
                <w:bCs/>
                <w:color w:val="000000"/>
                <w:szCs w:val="22"/>
              </w:rPr>
            </w:pPr>
            <w:r>
              <w:rPr>
                <w:bCs/>
                <w:color w:val="000000"/>
                <w:szCs w:val="22"/>
              </w:rPr>
              <w:t xml:space="preserve">Cadre de réponse technique </w:t>
            </w:r>
          </w:p>
        </w:tc>
      </w:tr>
      <w:tr w:rsidR="002C06B7">
        <w:trPr>
          <w:jc w:val="center"/>
        </w:trPr>
        <w:tc>
          <w:tcPr>
            <w:tcW w:w="0" w:type="auto"/>
            <w:vAlign w:val="center"/>
          </w:tcPr>
          <w:p w:rsidR="002C06B7" w:rsidRDefault="00C33788">
            <w:pPr>
              <w:spacing w:before="60" w:after="60"/>
              <w:jc w:val="center"/>
              <w:rPr>
                <w:bCs/>
                <w:color w:val="000000"/>
                <w:szCs w:val="22"/>
              </w:rPr>
            </w:pPr>
            <w:r>
              <w:rPr>
                <w:bCs/>
                <w:color w:val="000000"/>
                <w:szCs w:val="22"/>
              </w:rPr>
              <w:t>Annexe VII</w:t>
            </w:r>
          </w:p>
        </w:tc>
        <w:tc>
          <w:tcPr>
            <w:tcW w:w="0" w:type="auto"/>
            <w:vAlign w:val="center"/>
          </w:tcPr>
          <w:p w:rsidR="002C06B7" w:rsidRDefault="00C33788">
            <w:pPr>
              <w:spacing w:before="60" w:after="60"/>
              <w:jc w:val="left"/>
              <w:rPr>
                <w:bCs/>
                <w:color w:val="000000"/>
                <w:szCs w:val="22"/>
              </w:rPr>
            </w:pPr>
            <w:r>
              <w:rPr>
                <w:bCs/>
                <w:color w:val="000000"/>
                <w:szCs w:val="22"/>
              </w:rPr>
              <w:t>Simulation financière</w:t>
            </w:r>
          </w:p>
        </w:tc>
      </w:tr>
      <w:tr w:rsidR="002C06B7">
        <w:trPr>
          <w:jc w:val="center"/>
        </w:trPr>
        <w:tc>
          <w:tcPr>
            <w:tcW w:w="0" w:type="auto"/>
            <w:vAlign w:val="center"/>
          </w:tcPr>
          <w:p w:rsidR="002C06B7" w:rsidRDefault="00C33788">
            <w:pPr>
              <w:spacing w:before="60" w:after="60"/>
              <w:jc w:val="center"/>
              <w:rPr>
                <w:bCs/>
                <w:color w:val="000000"/>
                <w:szCs w:val="22"/>
              </w:rPr>
            </w:pPr>
            <w:r>
              <w:rPr>
                <w:bCs/>
                <w:color w:val="000000"/>
                <w:szCs w:val="22"/>
              </w:rPr>
              <w:t>Annexe VIII</w:t>
            </w:r>
          </w:p>
        </w:tc>
        <w:tc>
          <w:tcPr>
            <w:tcW w:w="0" w:type="auto"/>
            <w:vAlign w:val="center"/>
          </w:tcPr>
          <w:p w:rsidR="002C06B7" w:rsidRDefault="00C33788">
            <w:pPr>
              <w:spacing w:before="60" w:after="60"/>
              <w:jc w:val="left"/>
              <w:rPr>
                <w:bCs/>
                <w:color w:val="000000"/>
                <w:szCs w:val="22"/>
              </w:rPr>
            </w:pPr>
            <w:r>
              <w:rPr>
                <w:bCs/>
                <w:color w:val="000000"/>
                <w:szCs w:val="22"/>
              </w:rPr>
              <w:t>Attestation sur l’honneur relative aux motifs d’exclusion</w:t>
            </w:r>
          </w:p>
        </w:tc>
      </w:tr>
    </w:tbl>
    <w:p w:rsidR="002C06B7" w:rsidRDefault="002C06B7">
      <w:pPr>
        <w:pStyle w:val="2Centr"/>
        <w:jc w:val="both"/>
      </w:pPr>
    </w:p>
    <w:p w:rsidR="002C06B7" w:rsidRDefault="00C33788">
      <w:pPr>
        <w:pStyle w:val="2Centr"/>
      </w:pPr>
      <w:r>
        <w:t xml:space="preserve">Le RC définit les règles applicables dans le cadre de la présente consultation. </w:t>
      </w:r>
    </w:p>
    <w:p w:rsidR="002C06B7" w:rsidRDefault="00C33788">
      <w:pPr>
        <w:pStyle w:val="2Centr"/>
      </w:pPr>
      <w:r>
        <w:t>Ce document n’est pas destiné à être retourné au pouvoir adjudicateur.</w:t>
      </w:r>
    </w:p>
    <w:p w:rsidR="002C06B7" w:rsidRDefault="00C33788">
      <w:pPr>
        <w:spacing w:before="0" w:after="0"/>
        <w:jc w:val="left"/>
        <w:rPr>
          <w:rFonts w:eastAsia="MS Mincho" w:cs="Times New Roman"/>
        </w:rPr>
      </w:pPr>
      <w:r>
        <w:br w:type="page" w:clear="all"/>
      </w:r>
    </w:p>
    <w:p w:rsidR="002C06B7" w:rsidRDefault="00C33788">
      <w:pPr>
        <w:pBdr>
          <w:top w:val="single" w:sz="6" w:space="2" w:color="000000"/>
          <w:bottom w:val="single" w:sz="6" w:space="1" w:color="000000"/>
        </w:pBdr>
        <w:spacing w:after="240"/>
        <w:jc w:val="center"/>
        <w:rPr>
          <w:b/>
          <w:szCs w:val="22"/>
        </w:rPr>
      </w:pPr>
      <w:r>
        <w:rPr>
          <w:b/>
          <w:caps/>
          <w:szCs w:val="22"/>
        </w:rPr>
        <w:lastRenderedPageBreak/>
        <w:t>Sommaire</w:t>
      </w:r>
    </w:p>
    <w:p w:rsidR="00ED5BA5" w:rsidRDefault="00C33788">
      <w:pPr>
        <w:pStyle w:val="TM1"/>
        <w:rPr>
          <w:rFonts w:asciiTheme="minorHAnsi" w:eastAsiaTheme="minorEastAsia" w:hAnsiTheme="minorHAnsi" w:cstheme="minorBidi"/>
          <w:smallCaps w:val="0"/>
          <w:noProof/>
          <w:sz w:val="22"/>
          <w:szCs w:val="22"/>
        </w:rPr>
      </w:pPr>
      <w:r>
        <w:fldChar w:fldCharType="begin"/>
      </w:r>
      <w:r>
        <w:instrText xml:space="preserve"> TOC \o "2-2" \t "Titre 1;1;Titre 3;3;Annexe 1;1;Annexe 3;3;Mon Titre;1" </w:instrText>
      </w:r>
      <w:r>
        <w:fldChar w:fldCharType="separate"/>
      </w:r>
      <w:r w:rsidR="00ED5BA5" w:rsidRPr="00DC3FAA">
        <w:rPr>
          <w:rFonts w:ascii="Arial Gras" w:hAnsi="Arial Gras"/>
          <w:noProof/>
          <w:color w:val="000000"/>
        </w:rPr>
        <w:t>Article I.</w:t>
      </w:r>
      <w:r w:rsidR="00ED5BA5">
        <w:rPr>
          <w:noProof/>
        </w:rPr>
        <w:t xml:space="preserve"> Caractéristiques generales de la consultation</w:t>
      </w:r>
      <w:r w:rsidR="00ED5BA5">
        <w:rPr>
          <w:noProof/>
        </w:rPr>
        <w:tab/>
      </w:r>
      <w:r w:rsidR="00ED5BA5">
        <w:rPr>
          <w:noProof/>
        </w:rPr>
        <w:fldChar w:fldCharType="begin"/>
      </w:r>
      <w:r w:rsidR="00ED5BA5">
        <w:rPr>
          <w:noProof/>
        </w:rPr>
        <w:instrText xml:space="preserve"> PAGEREF _Toc202861535 \h </w:instrText>
      </w:r>
      <w:r w:rsidR="00ED5BA5">
        <w:rPr>
          <w:noProof/>
        </w:rPr>
      </w:r>
      <w:r w:rsidR="00ED5BA5">
        <w:rPr>
          <w:noProof/>
        </w:rPr>
        <w:fldChar w:fldCharType="separate"/>
      </w:r>
      <w:r w:rsidR="00ED5BA5">
        <w:rPr>
          <w:noProof/>
        </w:rPr>
        <w:t>4</w:t>
      </w:r>
      <w:r w:rsidR="00ED5BA5">
        <w:rPr>
          <w:noProof/>
        </w:rPr>
        <w:fldChar w:fldCharType="end"/>
      </w:r>
    </w:p>
    <w:p w:rsidR="00ED5BA5" w:rsidRDefault="00ED5BA5">
      <w:pPr>
        <w:pStyle w:val="TM2"/>
        <w:rPr>
          <w:rFonts w:asciiTheme="minorHAnsi" w:eastAsiaTheme="minorEastAsia" w:hAnsiTheme="minorHAnsi" w:cstheme="minorBidi"/>
          <w:smallCaps w:val="0"/>
          <w:noProof/>
          <w:sz w:val="22"/>
        </w:rPr>
      </w:pPr>
      <w:r w:rsidRPr="00DC3FAA">
        <w:rPr>
          <w:rFonts w:ascii="Arial" w:hAnsi="Arial"/>
          <w:noProof/>
        </w:rPr>
        <w:t>I.1</w:t>
      </w:r>
      <w:r>
        <w:rPr>
          <w:rFonts w:asciiTheme="minorHAnsi" w:eastAsiaTheme="minorEastAsia" w:hAnsiTheme="minorHAnsi" w:cstheme="minorBidi"/>
          <w:smallCaps w:val="0"/>
          <w:noProof/>
          <w:sz w:val="22"/>
        </w:rPr>
        <w:tab/>
      </w:r>
      <w:r>
        <w:rPr>
          <w:noProof/>
        </w:rPr>
        <w:t>Objet du marché</w:t>
      </w:r>
      <w:r>
        <w:rPr>
          <w:noProof/>
        </w:rPr>
        <w:tab/>
      </w:r>
      <w:r>
        <w:rPr>
          <w:noProof/>
        </w:rPr>
        <w:fldChar w:fldCharType="begin"/>
      </w:r>
      <w:r>
        <w:rPr>
          <w:noProof/>
        </w:rPr>
        <w:instrText xml:space="preserve"> PAGEREF _Toc202861536 \h </w:instrText>
      </w:r>
      <w:r>
        <w:rPr>
          <w:noProof/>
        </w:rPr>
      </w:r>
      <w:r>
        <w:rPr>
          <w:noProof/>
        </w:rPr>
        <w:fldChar w:fldCharType="separate"/>
      </w:r>
      <w:r>
        <w:rPr>
          <w:noProof/>
        </w:rPr>
        <w:t>4</w:t>
      </w:r>
      <w:r>
        <w:rPr>
          <w:noProof/>
        </w:rPr>
        <w:fldChar w:fldCharType="end"/>
      </w:r>
    </w:p>
    <w:p w:rsidR="00ED5BA5" w:rsidRDefault="00ED5BA5">
      <w:pPr>
        <w:pStyle w:val="TM2"/>
        <w:rPr>
          <w:rFonts w:asciiTheme="minorHAnsi" w:eastAsiaTheme="minorEastAsia" w:hAnsiTheme="minorHAnsi" w:cstheme="minorBidi"/>
          <w:smallCaps w:val="0"/>
          <w:noProof/>
          <w:sz w:val="22"/>
        </w:rPr>
      </w:pPr>
      <w:r w:rsidRPr="00DC3FAA">
        <w:rPr>
          <w:rFonts w:ascii="Arial" w:hAnsi="Arial"/>
          <w:noProof/>
        </w:rPr>
        <w:t>I.2</w:t>
      </w:r>
      <w:r>
        <w:rPr>
          <w:rFonts w:asciiTheme="minorHAnsi" w:eastAsiaTheme="minorEastAsia" w:hAnsiTheme="minorHAnsi" w:cstheme="minorBidi"/>
          <w:smallCaps w:val="0"/>
          <w:noProof/>
          <w:sz w:val="22"/>
        </w:rPr>
        <w:tab/>
      </w:r>
      <w:r>
        <w:rPr>
          <w:noProof/>
        </w:rPr>
        <w:t>Procédure de passation</w:t>
      </w:r>
      <w:r>
        <w:rPr>
          <w:noProof/>
        </w:rPr>
        <w:tab/>
      </w:r>
      <w:r>
        <w:rPr>
          <w:noProof/>
        </w:rPr>
        <w:fldChar w:fldCharType="begin"/>
      </w:r>
      <w:r>
        <w:rPr>
          <w:noProof/>
        </w:rPr>
        <w:instrText xml:space="preserve"> PAGEREF _Toc202861537 \h </w:instrText>
      </w:r>
      <w:r>
        <w:rPr>
          <w:noProof/>
        </w:rPr>
      </w:r>
      <w:r>
        <w:rPr>
          <w:noProof/>
        </w:rPr>
        <w:fldChar w:fldCharType="separate"/>
      </w:r>
      <w:r>
        <w:rPr>
          <w:noProof/>
        </w:rPr>
        <w:t>4</w:t>
      </w:r>
      <w:r>
        <w:rPr>
          <w:noProof/>
        </w:rPr>
        <w:fldChar w:fldCharType="end"/>
      </w:r>
    </w:p>
    <w:p w:rsidR="00ED5BA5" w:rsidRDefault="00ED5BA5">
      <w:pPr>
        <w:pStyle w:val="TM3"/>
        <w:rPr>
          <w:rFonts w:asciiTheme="minorHAnsi" w:eastAsiaTheme="minorEastAsia" w:hAnsiTheme="minorHAnsi" w:cstheme="minorBidi"/>
          <w:i w:val="0"/>
          <w:smallCaps w:val="0"/>
          <w:noProof/>
          <w:sz w:val="22"/>
        </w:rPr>
      </w:pPr>
      <w:r w:rsidRPr="00DC3FAA">
        <w:rPr>
          <w:noProof/>
          <w:color w:val="000000"/>
        </w:rPr>
        <w:t>I.2.1</w:t>
      </w:r>
      <w:r>
        <w:rPr>
          <w:rFonts w:asciiTheme="minorHAnsi" w:eastAsiaTheme="minorEastAsia" w:hAnsiTheme="minorHAnsi" w:cstheme="minorBidi"/>
          <w:i w:val="0"/>
          <w:smallCaps w:val="0"/>
          <w:noProof/>
          <w:sz w:val="22"/>
        </w:rPr>
        <w:tab/>
      </w:r>
      <w:r w:rsidRPr="00DC3FAA">
        <w:rPr>
          <w:noProof/>
        </w:rPr>
        <w:t>Procédure</w:t>
      </w:r>
      <w:r>
        <w:rPr>
          <w:noProof/>
        </w:rPr>
        <w:tab/>
      </w:r>
      <w:r>
        <w:rPr>
          <w:noProof/>
        </w:rPr>
        <w:fldChar w:fldCharType="begin"/>
      </w:r>
      <w:r>
        <w:rPr>
          <w:noProof/>
        </w:rPr>
        <w:instrText xml:space="preserve"> PAGEREF _Toc202861538 \h </w:instrText>
      </w:r>
      <w:r>
        <w:rPr>
          <w:noProof/>
        </w:rPr>
      </w:r>
      <w:r>
        <w:rPr>
          <w:noProof/>
        </w:rPr>
        <w:fldChar w:fldCharType="separate"/>
      </w:r>
      <w:r>
        <w:rPr>
          <w:noProof/>
        </w:rPr>
        <w:t>4</w:t>
      </w:r>
      <w:r>
        <w:rPr>
          <w:noProof/>
        </w:rPr>
        <w:fldChar w:fldCharType="end"/>
      </w:r>
    </w:p>
    <w:p w:rsidR="00ED5BA5" w:rsidRDefault="00ED5BA5">
      <w:pPr>
        <w:pStyle w:val="TM3"/>
        <w:rPr>
          <w:rFonts w:asciiTheme="minorHAnsi" w:eastAsiaTheme="minorEastAsia" w:hAnsiTheme="minorHAnsi" w:cstheme="minorBidi"/>
          <w:i w:val="0"/>
          <w:smallCaps w:val="0"/>
          <w:noProof/>
          <w:sz w:val="22"/>
        </w:rPr>
      </w:pPr>
      <w:r w:rsidRPr="00DC3FAA">
        <w:rPr>
          <w:noProof/>
          <w:color w:val="000000"/>
        </w:rPr>
        <w:t>I.2.2</w:t>
      </w:r>
      <w:r>
        <w:rPr>
          <w:rFonts w:asciiTheme="minorHAnsi" w:eastAsiaTheme="minorEastAsia" w:hAnsiTheme="minorHAnsi" w:cstheme="minorBidi"/>
          <w:i w:val="0"/>
          <w:smallCaps w:val="0"/>
          <w:noProof/>
          <w:sz w:val="22"/>
        </w:rPr>
        <w:tab/>
      </w:r>
      <w:r w:rsidRPr="00DC3FAA">
        <w:rPr>
          <w:noProof/>
        </w:rPr>
        <w:t>Nomenclature communautaire CPV</w:t>
      </w:r>
      <w:r>
        <w:rPr>
          <w:noProof/>
        </w:rPr>
        <w:tab/>
      </w:r>
      <w:r>
        <w:rPr>
          <w:noProof/>
        </w:rPr>
        <w:fldChar w:fldCharType="begin"/>
      </w:r>
      <w:r>
        <w:rPr>
          <w:noProof/>
        </w:rPr>
        <w:instrText xml:space="preserve"> PAGEREF _Toc202861539 \h </w:instrText>
      </w:r>
      <w:r>
        <w:rPr>
          <w:noProof/>
        </w:rPr>
      </w:r>
      <w:r>
        <w:rPr>
          <w:noProof/>
        </w:rPr>
        <w:fldChar w:fldCharType="separate"/>
      </w:r>
      <w:r>
        <w:rPr>
          <w:noProof/>
        </w:rPr>
        <w:t>4</w:t>
      </w:r>
      <w:r>
        <w:rPr>
          <w:noProof/>
        </w:rPr>
        <w:fldChar w:fldCharType="end"/>
      </w:r>
    </w:p>
    <w:p w:rsidR="00ED5BA5" w:rsidRDefault="00ED5BA5">
      <w:pPr>
        <w:pStyle w:val="TM2"/>
        <w:rPr>
          <w:rFonts w:asciiTheme="minorHAnsi" w:eastAsiaTheme="minorEastAsia" w:hAnsiTheme="minorHAnsi" w:cstheme="minorBidi"/>
          <w:smallCaps w:val="0"/>
          <w:noProof/>
          <w:sz w:val="22"/>
        </w:rPr>
      </w:pPr>
      <w:r w:rsidRPr="00DC3FAA">
        <w:rPr>
          <w:rFonts w:ascii="Arial" w:hAnsi="Arial"/>
          <w:noProof/>
        </w:rPr>
        <w:t>I.3</w:t>
      </w:r>
      <w:r>
        <w:rPr>
          <w:rFonts w:asciiTheme="minorHAnsi" w:eastAsiaTheme="minorEastAsia" w:hAnsiTheme="minorHAnsi" w:cstheme="minorBidi"/>
          <w:smallCaps w:val="0"/>
          <w:noProof/>
          <w:sz w:val="22"/>
        </w:rPr>
        <w:tab/>
      </w:r>
      <w:r>
        <w:rPr>
          <w:noProof/>
        </w:rPr>
        <w:t>forme de l’accord-cadre</w:t>
      </w:r>
      <w:r>
        <w:rPr>
          <w:noProof/>
        </w:rPr>
        <w:tab/>
      </w:r>
      <w:r>
        <w:rPr>
          <w:noProof/>
        </w:rPr>
        <w:fldChar w:fldCharType="begin"/>
      </w:r>
      <w:r>
        <w:rPr>
          <w:noProof/>
        </w:rPr>
        <w:instrText xml:space="preserve"> PAGEREF _Toc202861540 \h </w:instrText>
      </w:r>
      <w:r>
        <w:rPr>
          <w:noProof/>
        </w:rPr>
      </w:r>
      <w:r>
        <w:rPr>
          <w:noProof/>
        </w:rPr>
        <w:fldChar w:fldCharType="separate"/>
      </w:r>
      <w:r>
        <w:rPr>
          <w:noProof/>
        </w:rPr>
        <w:t>4</w:t>
      </w:r>
      <w:r>
        <w:rPr>
          <w:noProof/>
        </w:rPr>
        <w:fldChar w:fldCharType="end"/>
      </w:r>
    </w:p>
    <w:p w:rsidR="00ED5BA5" w:rsidRDefault="00ED5BA5">
      <w:pPr>
        <w:pStyle w:val="TM2"/>
        <w:rPr>
          <w:rFonts w:asciiTheme="minorHAnsi" w:eastAsiaTheme="minorEastAsia" w:hAnsiTheme="minorHAnsi" w:cstheme="minorBidi"/>
          <w:smallCaps w:val="0"/>
          <w:noProof/>
          <w:sz w:val="22"/>
        </w:rPr>
      </w:pPr>
      <w:r w:rsidRPr="00DC3FAA">
        <w:rPr>
          <w:rFonts w:ascii="Arial" w:hAnsi="Arial"/>
          <w:noProof/>
        </w:rPr>
        <w:t>I.4</w:t>
      </w:r>
      <w:r>
        <w:rPr>
          <w:rFonts w:asciiTheme="minorHAnsi" w:eastAsiaTheme="minorEastAsia" w:hAnsiTheme="minorHAnsi" w:cstheme="minorBidi"/>
          <w:smallCaps w:val="0"/>
          <w:noProof/>
          <w:sz w:val="22"/>
        </w:rPr>
        <w:tab/>
      </w:r>
      <w:r>
        <w:rPr>
          <w:noProof/>
        </w:rPr>
        <w:t>Allotissement</w:t>
      </w:r>
      <w:r>
        <w:rPr>
          <w:noProof/>
        </w:rPr>
        <w:tab/>
      </w:r>
      <w:r>
        <w:rPr>
          <w:noProof/>
        </w:rPr>
        <w:fldChar w:fldCharType="begin"/>
      </w:r>
      <w:r>
        <w:rPr>
          <w:noProof/>
        </w:rPr>
        <w:instrText xml:space="preserve"> PAGEREF _Toc202861541 \h </w:instrText>
      </w:r>
      <w:r>
        <w:rPr>
          <w:noProof/>
        </w:rPr>
      </w:r>
      <w:r>
        <w:rPr>
          <w:noProof/>
        </w:rPr>
        <w:fldChar w:fldCharType="separate"/>
      </w:r>
      <w:r>
        <w:rPr>
          <w:noProof/>
        </w:rPr>
        <w:t>4</w:t>
      </w:r>
      <w:r>
        <w:rPr>
          <w:noProof/>
        </w:rPr>
        <w:fldChar w:fldCharType="end"/>
      </w:r>
    </w:p>
    <w:p w:rsidR="00ED5BA5" w:rsidRDefault="00ED5BA5">
      <w:pPr>
        <w:pStyle w:val="TM2"/>
        <w:rPr>
          <w:rFonts w:asciiTheme="minorHAnsi" w:eastAsiaTheme="minorEastAsia" w:hAnsiTheme="minorHAnsi" w:cstheme="minorBidi"/>
          <w:smallCaps w:val="0"/>
          <w:noProof/>
          <w:sz w:val="22"/>
        </w:rPr>
      </w:pPr>
      <w:r w:rsidRPr="00DC3FAA">
        <w:rPr>
          <w:rFonts w:ascii="Arial" w:hAnsi="Arial"/>
          <w:noProof/>
        </w:rPr>
        <w:t>I.5</w:t>
      </w:r>
      <w:r>
        <w:rPr>
          <w:rFonts w:asciiTheme="minorHAnsi" w:eastAsiaTheme="minorEastAsia" w:hAnsiTheme="minorHAnsi" w:cstheme="minorBidi"/>
          <w:smallCaps w:val="0"/>
          <w:noProof/>
          <w:sz w:val="22"/>
        </w:rPr>
        <w:tab/>
      </w:r>
      <w:r>
        <w:rPr>
          <w:noProof/>
        </w:rPr>
        <w:t>Montants</w:t>
      </w:r>
      <w:r>
        <w:rPr>
          <w:noProof/>
        </w:rPr>
        <w:tab/>
      </w:r>
      <w:r>
        <w:rPr>
          <w:noProof/>
        </w:rPr>
        <w:fldChar w:fldCharType="begin"/>
      </w:r>
      <w:r>
        <w:rPr>
          <w:noProof/>
        </w:rPr>
        <w:instrText xml:space="preserve"> PAGEREF _Toc202861542 \h </w:instrText>
      </w:r>
      <w:r>
        <w:rPr>
          <w:noProof/>
        </w:rPr>
      </w:r>
      <w:r>
        <w:rPr>
          <w:noProof/>
        </w:rPr>
        <w:fldChar w:fldCharType="separate"/>
      </w:r>
      <w:r>
        <w:rPr>
          <w:noProof/>
        </w:rPr>
        <w:t>4</w:t>
      </w:r>
      <w:r>
        <w:rPr>
          <w:noProof/>
        </w:rPr>
        <w:fldChar w:fldCharType="end"/>
      </w:r>
    </w:p>
    <w:p w:rsidR="00ED5BA5" w:rsidRDefault="00ED5BA5">
      <w:pPr>
        <w:pStyle w:val="TM2"/>
        <w:rPr>
          <w:rFonts w:asciiTheme="minorHAnsi" w:eastAsiaTheme="minorEastAsia" w:hAnsiTheme="minorHAnsi" w:cstheme="minorBidi"/>
          <w:smallCaps w:val="0"/>
          <w:noProof/>
          <w:sz w:val="22"/>
        </w:rPr>
      </w:pPr>
      <w:r w:rsidRPr="00DC3FAA">
        <w:rPr>
          <w:rFonts w:ascii="Arial" w:hAnsi="Arial"/>
          <w:noProof/>
        </w:rPr>
        <w:t>I.6</w:t>
      </w:r>
      <w:r>
        <w:rPr>
          <w:rFonts w:asciiTheme="minorHAnsi" w:eastAsiaTheme="minorEastAsia" w:hAnsiTheme="minorHAnsi" w:cstheme="minorBidi"/>
          <w:smallCaps w:val="0"/>
          <w:noProof/>
          <w:sz w:val="22"/>
        </w:rPr>
        <w:tab/>
      </w:r>
      <w:r>
        <w:rPr>
          <w:noProof/>
        </w:rPr>
        <w:t>Durée</w:t>
      </w:r>
      <w:r>
        <w:rPr>
          <w:noProof/>
        </w:rPr>
        <w:tab/>
      </w:r>
      <w:r>
        <w:rPr>
          <w:noProof/>
        </w:rPr>
        <w:fldChar w:fldCharType="begin"/>
      </w:r>
      <w:r>
        <w:rPr>
          <w:noProof/>
        </w:rPr>
        <w:instrText xml:space="preserve"> PAGEREF _Toc202861543 \h </w:instrText>
      </w:r>
      <w:r>
        <w:rPr>
          <w:noProof/>
        </w:rPr>
      </w:r>
      <w:r>
        <w:rPr>
          <w:noProof/>
        </w:rPr>
        <w:fldChar w:fldCharType="separate"/>
      </w:r>
      <w:r>
        <w:rPr>
          <w:noProof/>
        </w:rPr>
        <w:t>5</w:t>
      </w:r>
      <w:r>
        <w:rPr>
          <w:noProof/>
        </w:rPr>
        <w:fldChar w:fldCharType="end"/>
      </w:r>
    </w:p>
    <w:p w:rsidR="00ED5BA5" w:rsidRDefault="00ED5BA5">
      <w:pPr>
        <w:pStyle w:val="TM2"/>
        <w:rPr>
          <w:rFonts w:asciiTheme="minorHAnsi" w:eastAsiaTheme="minorEastAsia" w:hAnsiTheme="minorHAnsi" w:cstheme="minorBidi"/>
          <w:smallCaps w:val="0"/>
          <w:noProof/>
          <w:sz w:val="22"/>
        </w:rPr>
      </w:pPr>
      <w:r w:rsidRPr="00DC3FAA">
        <w:rPr>
          <w:rFonts w:ascii="Arial" w:hAnsi="Arial"/>
          <w:noProof/>
        </w:rPr>
        <w:t>I.7</w:t>
      </w:r>
      <w:r>
        <w:rPr>
          <w:rFonts w:asciiTheme="minorHAnsi" w:eastAsiaTheme="minorEastAsia" w:hAnsiTheme="minorHAnsi" w:cstheme="minorBidi"/>
          <w:smallCaps w:val="0"/>
          <w:noProof/>
          <w:sz w:val="22"/>
        </w:rPr>
        <w:tab/>
      </w:r>
      <w:r>
        <w:rPr>
          <w:noProof/>
        </w:rPr>
        <w:t>Textes de reférence</w:t>
      </w:r>
      <w:r>
        <w:rPr>
          <w:noProof/>
        </w:rPr>
        <w:tab/>
      </w:r>
      <w:r>
        <w:rPr>
          <w:noProof/>
        </w:rPr>
        <w:fldChar w:fldCharType="begin"/>
      </w:r>
      <w:r>
        <w:rPr>
          <w:noProof/>
        </w:rPr>
        <w:instrText xml:space="preserve"> PAGEREF _Toc202861544 \h </w:instrText>
      </w:r>
      <w:r>
        <w:rPr>
          <w:noProof/>
        </w:rPr>
      </w:r>
      <w:r>
        <w:rPr>
          <w:noProof/>
        </w:rPr>
        <w:fldChar w:fldCharType="separate"/>
      </w:r>
      <w:r>
        <w:rPr>
          <w:noProof/>
        </w:rPr>
        <w:t>5</w:t>
      </w:r>
      <w:r>
        <w:rPr>
          <w:noProof/>
        </w:rPr>
        <w:fldChar w:fldCharType="end"/>
      </w:r>
    </w:p>
    <w:p w:rsidR="00ED5BA5" w:rsidRDefault="00ED5BA5">
      <w:pPr>
        <w:pStyle w:val="TM2"/>
        <w:rPr>
          <w:rFonts w:asciiTheme="minorHAnsi" w:eastAsiaTheme="minorEastAsia" w:hAnsiTheme="minorHAnsi" w:cstheme="minorBidi"/>
          <w:smallCaps w:val="0"/>
          <w:noProof/>
          <w:sz w:val="22"/>
        </w:rPr>
      </w:pPr>
      <w:r w:rsidRPr="00DC3FAA">
        <w:rPr>
          <w:rFonts w:ascii="Arial" w:hAnsi="Arial"/>
          <w:noProof/>
        </w:rPr>
        <w:t>I.8</w:t>
      </w:r>
      <w:r>
        <w:rPr>
          <w:rFonts w:asciiTheme="minorHAnsi" w:eastAsiaTheme="minorEastAsia" w:hAnsiTheme="minorHAnsi" w:cstheme="minorBidi"/>
          <w:smallCaps w:val="0"/>
          <w:noProof/>
          <w:sz w:val="22"/>
        </w:rPr>
        <w:tab/>
      </w:r>
      <w:r>
        <w:rPr>
          <w:noProof/>
        </w:rPr>
        <w:t>Options, variantes et prestations suppléméntaires</w:t>
      </w:r>
      <w:r>
        <w:rPr>
          <w:noProof/>
        </w:rPr>
        <w:tab/>
      </w:r>
      <w:r>
        <w:rPr>
          <w:noProof/>
        </w:rPr>
        <w:fldChar w:fldCharType="begin"/>
      </w:r>
      <w:r>
        <w:rPr>
          <w:noProof/>
        </w:rPr>
        <w:instrText xml:space="preserve"> PAGEREF _Toc202861545 \h </w:instrText>
      </w:r>
      <w:r>
        <w:rPr>
          <w:noProof/>
        </w:rPr>
      </w:r>
      <w:r>
        <w:rPr>
          <w:noProof/>
        </w:rPr>
        <w:fldChar w:fldCharType="separate"/>
      </w:r>
      <w:r>
        <w:rPr>
          <w:noProof/>
        </w:rPr>
        <w:t>6</w:t>
      </w:r>
      <w:r>
        <w:rPr>
          <w:noProof/>
        </w:rPr>
        <w:fldChar w:fldCharType="end"/>
      </w:r>
    </w:p>
    <w:p w:rsidR="00ED5BA5" w:rsidRDefault="00ED5BA5">
      <w:pPr>
        <w:pStyle w:val="TM2"/>
        <w:rPr>
          <w:rFonts w:asciiTheme="minorHAnsi" w:eastAsiaTheme="minorEastAsia" w:hAnsiTheme="minorHAnsi" w:cstheme="minorBidi"/>
          <w:smallCaps w:val="0"/>
          <w:noProof/>
          <w:sz w:val="22"/>
        </w:rPr>
      </w:pPr>
      <w:r w:rsidRPr="00DC3FAA">
        <w:rPr>
          <w:rFonts w:ascii="Arial" w:hAnsi="Arial"/>
          <w:noProof/>
        </w:rPr>
        <w:t>I.9</w:t>
      </w:r>
      <w:r>
        <w:rPr>
          <w:rFonts w:asciiTheme="minorHAnsi" w:eastAsiaTheme="minorEastAsia" w:hAnsiTheme="minorHAnsi" w:cstheme="minorBidi"/>
          <w:smallCaps w:val="0"/>
          <w:noProof/>
          <w:sz w:val="22"/>
        </w:rPr>
        <w:tab/>
      </w:r>
      <w:r>
        <w:rPr>
          <w:noProof/>
        </w:rPr>
        <w:t>Développement durable</w:t>
      </w:r>
      <w:r>
        <w:rPr>
          <w:noProof/>
        </w:rPr>
        <w:tab/>
      </w:r>
      <w:r>
        <w:rPr>
          <w:noProof/>
        </w:rPr>
        <w:fldChar w:fldCharType="begin"/>
      </w:r>
      <w:r>
        <w:rPr>
          <w:noProof/>
        </w:rPr>
        <w:instrText xml:space="preserve"> PAGEREF _Toc202861546 \h </w:instrText>
      </w:r>
      <w:r>
        <w:rPr>
          <w:noProof/>
        </w:rPr>
      </w:r>
      <w:r>
        <w:rPr>
          <w:noProof/>
        </w:rPr>
        <w:fldChar w:fldCharType="separate"/>
      </w:r>
      <w:r>
        <w:rPr>
          <w:noProof/>
        </w:rPr>
        <w:t>6</w:t>
      </w:r>
      <w:r>
        <w:rPr>
          <w:noProof/>
        </w:rPr>
        <w:fldChar w:fldCharType="end"/>
      </w:r>
    </w:p>
    <w:p w:rsidR="00ED5BA5" w:rsidRDefault="00ED5BA5">
      <w:pPr>
        <w:pStyle w:val="TM2"/>
        <w:rPr>
          <w:rFonts w:asciiTheme="minorHAnsi" w:eastAsiaTheme="minorEastAsia" w:hAnsiTheme="minorHAnsi" w:cstheme="minorBidi"/>
          <w:smallCaps w:val="0"/>
          <w:noProof/>
          <w:sz w:val="22"/>
        </w:rPr>
      </w:pPr>
      <w:r w:rsidRPr="00DC3FAA">
        <w:rPr>
          <w:rFonts w:ascii="Arial" w:hAnsi="Arial"/>
          <w:noProof/>
        </w:rPr>
        <w:t>I.10</w:t>
      </w:r>
      <w:r>
        <w:rPr>
          <w:rFonts w:asciiTheme="minorHAnsi" w:eastAsiaTheme="minorEastAsia" w:hAnsiTheme="minorHAnsi" w:cstheme="minorBidi"/>
          <w:smallCaps w:val="0"/>
          <w:noProof/>
          <w:sz w:val="22"/>
        </w:rPr>
        <w:tab/>
      </w:r>
      <w:r>
        <w:rPr>
          <w:noProof/>
        </w:rPr>
        <w:t>Déontologie</w:t>
      </w:r>
      <w:r>
        <w:rPr>
          <w:noProof/>
        </w:rPr>
        <w:tab/>
      </w:r>
      <w:r>
        <w:rPr>
          <w:noProof/>
        </w:rPr>
        <w:fldChar w:fldCharType="begin"/>
      </w:r>
      <w:r>
        <w:rPr>
          <w:noProof/>
        </w:rPr>
        <w:instrText xml:space="preserve"> PAGEREF _Toc202861547 \h </w:instrText>
      </w:r>
      <w:r>
        <w:rPr>
          <w:noProof/>
        </w:rPr>
      </w:r>
      <w:r>
        <w:rPr>
          <w:noProof/>
        </w:rPr>
        <w:fldChar w:fldCharType="separate"/>
      </w:r>
      <w:r>
        <w:rPr>
          <w:noProof/>
        </w:rPr>
        <w:t>6</w:t>
      </w:r>
      <w:r>
        <w:rPr>
          <w:noProof/>
        </w:rPr>
        <w:fldChar w:fldCharType="end"/>
      </w:r>
    </w:p>
    <w:p w:rsidR="00ED5BA5" w:rsidRDefault="00ED5BA5">
      <w:pPr>
        <w:pStyle w:val="TM2"/>
        <w:rPr>
          <w:rFonts w:asciiTheme="minorHAnsi" w:eastAsiaTheme="minorEastAsia" w:hAnsiTheme="minorHAnsi" w:cstheme="minorBidi"/>
          <w:smallCaps w:val="0"/>
          <w:noProof/>
          <w:sz w:val="22"/>
        </w:rPr>
      </w:pPr>
      <w:r w:rsidRPr="00DC3FAA">
        <w:rPr>
          <w:rFonts w:ascii="Arial" w:hAnsi="Arial"/>
          <w:noProof/>
        </w:rPr>
        <w:t>I.11</w:t>
      </w:r>
      <w:r>
        <w:rPr>
          <w:rFonts w:asciiTheme="minorHAnsi" w:eastAsiaTheme="minorEastAsia" w:hAnsiTheme="minorHAnsi" w:cstheme="minorBidi"/>
          <w:smallCaps w:val="0"/>
          <w:noProof/>
          <w:sz w:val="22"/>
        </w:rPr>
        <w:tab/>
      </w:r>
      <w:r>
        <w:rPr>
          <w:noProof/>
        </w:rPr>
        <w:t>Modalités de correspondance</w:t>
      </w:r>
      <w:r>
        <w:rPr>
          <w:noProof/>
        </w:rPr>
        <w:tab/>
      </w:r>
      <w:r>
        <w:rPr>
          <w:noProof/>
        </w:rPr>
        <w:fldChar w:fldCharType="begin"/>
      </w:r>
      <w:r>
        <w:rPr>
          <w:noProof/>
        </w:rPr>
        <w:instrText xml:space="preserve"> PAGEREF _Toc202861548 \h </w:instrText>
      </w:r>
      <w:r>
        <w:rPr>
          <w:noProof/>
        </w:rPr>
      </w:r>
      <w:r>
        <w:rPr>
          <w:noProof/>
        </w:rPr>
        <w:fldChar w:fldCharType="separate"/>
      </w:r>
      <w:r>
        <w:rPr>
          <w:noProof/>
        </w:rPr>
        <w:t>6</w:t>
      </w:r>
      <w:r>
        <w:rPr>
          <w:noProof/>
        </w:rPr>
        <w:fldChar w:fldCharType="end"/>
      </w:r>
    </w:p>
    <w:p w:rsidR="00ED5BA5" w:rsidRDefault="00ED5BA5">
      <w:pPr>
        <w:pStyle w:val="TM1"/>
        <w:rPr>
          <w:rFonts w:asciiTheme="minorHAnsi" w:eastAsiaTheme="minorEastAsia" w:hAnsiTheme="minorHAnsi" w:cstheme="minorBidi"/>
          <w:smallCaps w:val="0"/>
          <w:noProof/>
          <w:sz w:val="22"/>
          <w:szCs w:val="22"/>
        </w:rPr>
      </w:pPr>
      <w:r w:rsidRPr="00DC3FAA">
        <w:rPr>
          <w:rFonts w:ascii="Arial Gras" w:hAnsi="Arial Gras"/>
          <w:noProof/>
          <w:color w:val="000000"/>
        </w:rPr>
        <w:t>Article II.</w:t>
      </w:r>
      <w:r>
        <w:rPr>
          <w:noProof/>
        </w:rPr>
        <w:t xml:space="preserve"> Dossier de consultation des entreprises</w:t>
      </w:r>
      <w:r>
        <w:rPr>
          <w:noProof/>
        </w:rPr>
        <w:tab/>
      </w:r>
      <w:r>
        <w:rPr>
          <w:noProof/>
        </w:rPr>
        <w:fldChar w:fldCharType="begin"/>
      </w:r>
      <w:r>
        <w:rPr>
          <w:noProof/>
        </w:rPr>
        <w:instrText xml:space="preserve"> PAGEREF _Toc202861549 \h </w:instrText>
      </w:r>
      <w:r>
        <w:rPr>
          <w:noProof/>
        </w:rPr>
      </w:r>
      <w:r>
        <w:rPr>
          <w:noProof/>
        </w:rPr>
        <w:fldChar w:fldCharType="separate"/>
      </w:r>
      <w:r>
        <w:rPr>
          <w:noProof/>
        </w:rPr>
        <w:t>7</w:t>
      </w:r>
      <w:r>
        <w:rPr>
          <w:noProof/>
        </w:rPr>
        <w:fldChar w:fldCharType="end"/>
      </w:r>
    </w:p>
    <w:p w:rsidR="00ED5BA5" w:rsidRDefault="00ED5BA5">
      <w:pPr>
        <w:pStyle w:val="TM2"/>
        <w:rPr>
          <w:rFonts w:asciiTheme="minorHAnsi" w:eastAsiaTheme="minorEastAsia" w:hAnsiTheme="minorHAnsi" w:cstheme="minorBidi"/>
          <w:smallCaps w:val="0"/>
          <w:noProof/>
          <w:sz w:val="22"/>
        </w:rPr>
      </w:pPr>
      <w:r w:rsidRPr="00DC3FAA">
        <w:rPr>
          <w:rFonts w:ascii="Arial" w:hAnsi="Arial"/>
          <w:noProof/>
        </w:rPr>
        <w:t>II.1</w:t>
      </w:r>
      <w:r>
        <w:rPr>
          <w:rFonts w:asciiTheme="minorHAnsi" w:eastAsiaTheme="minorEastAsia" w:hAnsiTheme="minorHAnsi" w:cstheme="minorBidi"/>
          <w:smallCaps w:val="0"/>
          <w:noProof/>
          <w:sz w:val="22"/>
        </w:rPr>
        <w:tab/>
      </w:r>
      <w:r>
        <w:rPr>
          <w:noProof/>
        </w:rPr>
        <w:t>Contenu du dossier de consultation</w:t>
      </w:r>
      <w:r>
        <w:rPr>
          <w:noProof/>
        </w:rPr>
        <w:tab/>
      </w:r>
      <w:r>
        <w:rPr>
          <w:noProof/>
        </w:rPr>
        <w:fldChar w:fldCharType="begin"/>
      </w:r>
      <w:r>
        <w:rPr>
          <w:noProof/>
        </w:rPr>
        <w:instrText xml:space="preserve"> PAGEREF _Toc202861550 \h </w:instrText>
      </w:r>
      <w:r>
        <w:rPr>
          <w:noProof/>
        </w:rPr>
      </w:r>
      <w:r>
        <w:rPr>
          <w:noProof/>
        </w:rPr>
        <w:fldChar w:fldCharType="separate"/>
      </w:r>
      <w:r>
        <w:rPr>
          <w:noProof/>
        </w:rPr>
        <w:t>7</w:t>
      </w:r>
      <w:r>
        <w:rPr>
          <w:noProof/>
        </w:rPr>
        <w:fldChar w:fldCharType="end"/>
      </w:r>
    </w:p>
    <w:p w:rsidR="00ED5BA5" w:rsidRDefault="00ED5BA5">
      <w:pPr>
        <w:pStyle w:val="TM2"/>
        <w:rPr>
          <w:rFonts w:asciiTheme="minorHAnsi" w:eastAsiaTheme="minorEastAsia" w:hAnsiTheme="minorHAnsi" w:cstheme="minorBidi"/>
          <w:smallCaps w:val="0"/>
          <w:noProof/>
          <w:sz w:val="22"/>
        </w:rPr>
      </w:pPr>
      <w:r w:rsidRPr="00DC3FAA">
        <w:rPr>
          <w:rFonts w:ascii="Arial" w:hAnsi="Arial"/>
          <w:noProof/>
        </w:rPr>
        <w:t>II.2</w:t>
      </w:r>
      <w:r>
        <w:rPr>
          <w:rFonts w:asciiTheme="minorHAnsi" w:eastAsiaTheme="minorEastAsia" w:hAnsiTheme="minorHAnsi" w:cstheme="minorBidi"/>
          <w:smallCaps w:val="0"/>
          <w:noProof/>
          <w:sz w:val="22"/>
        </w:rPr>
        <w:tab/>
      </w:r>
      <w:r>
        <w:rPr>
          <w:noProof/>
        </w:rPr>
        <w:t>Précisions relatives au dossier de consultation</w:t>
      </w:r>
      <w:r>
        <w:rPr>
          <w:noProof/>
        </w:rPr>
        <w:tab/>
      </w:r>
      <w:r>
        <w:rPr>
          <w:noProof/>
        </w:rPr>
        <w:fldChar w:fldCharType="begin"/>
      </w:r>
      <w:r>
        <w:rPr>
          <w:noProof/>
        </w:rPr>
        <w:instrText xml:space="preserve"> PAGEREF _Toc202861551 \h </w:instrText>
      </w:r>
      <w:r>
        <w:rPr>
          <w:noProof/>
        </w:rPr>
      </w:r>
      <w:r>
        <w:rPr>
          <w:noProof/>
        </w:rPr>
        <w:fldChar w:fldCharType="separate"/>
      </w:r>
      <w:r>
        <w:rPr>
          <w:noProof/>
        </w:rPr>
        <w:t>7</w:t>
      </w:r>
      <w:r>
        <w:rPr>
          <w:noProof/>
        </w:rPr>
        <w:fldChar w:fldCharType="end"/>
      </w:r>
    </w:p>
    <w:p w:rsidR="00ED5BA5" w:rsidRDefault="00ED5BA5">
      <w:pPr>
        <w:pStyle w:val="TM2"/>
        <w:rPr>
          <w:rFonts w:asciiTheme="minorHAnsi" w:eastAsiaTheme="minorEastAsia" w:hAnsiTheme="minorHAnsi" w:cstheme="minorBidi"/>
          <w:smallCaps w:val="0"/>
          <w:noProof/>
          <w:sz w:val="22"/>
        </w:rPr>
      </w:pPr>
      <w:r w:rsidRPr="00DC3FAA">
        <w:rPr>
          <w:rFonts w:ascii="Arial" w:hAnsi="Arial"/>
          <w:noProof/>
        </w:rPr>
        <w:t>II.3</w:t>
      </w:r>
      <w:r>
        <w:rPr>
          <w:rFonts w:asciiTheme="minorHAnsi" w:eastAsiaTheme="minorEastAsia" w:hAnsiTheme="minorHAnsi" w:cstheme="minorBidi"/>
          <w:smallCaps w:val="0"/>
          <w:noProof/>
          <w:sz w:val="22"/>
        </w:rPr>
        <w:tab/>
      </w:r>
      <w:r>
        <w:rPr>
          <w:noProof/>
        </w:rPr>
        <w:t>Modification du dossier de consultation</w:t>
      </w:r>
      <w:r>
        <w:rPr>
          <w:noProof/>
        </w:rPr>
        <w:tab/>
      </w:r>
      <w:r>
        <w:rPr>
          <w:noProof/>
        </w:rPr>
        <w:fldChar w:fldCharType="begin"/>
      </w:r>
      <w:r>
        <w:rPr>
          <w:noProof/>
        </w:rPr>
        <w:instrText xml:space="preserve"> PAGEREF _Toc202861552 \h </w:instrText>
      </w:r>
      <w:r>
        <w:rPr>
          <w:noProof/>
        </w:rPr>
      </w:r>
      <w:r>
        <w:rPr>
          <w:noProof/>
        </w:rPr>
        <w:fldChar w:fldCharType="separate"/>
      </w:r>
      <w:r>
        <w:rPr>
          <w:noProof/>
        </w:rPr>
        <w:t>8</w:t>
      </w:r>
      <w:r>
        <w:rPr>
          <w:noProof/>
        </w:rPr>
        <w:fldChar w:fldCharType="end"/>
      </w:r>
    </w:p>
    <w:p w:rsidR="00ED5BA5" w:rsidRDefault="00ED5BA5">
      <w:pPr>
        <w:pStyle w:val="TM1"/>
        <w:rPr>
          <w:rFonts w:asciiTheme="minorHAnsi" w:eastAsiaTheme="minorEastAsia" w:hAnsiTheme="minorHAnsi" w:cstheme="minorBidi"/>
          <w:smallCaps w:val="0"/>
          <w:noProof/>
          <w:sz w:val="22"/>
          <w:szCs w:val="22"/>
        </w:rPr>
      </w:pPr>
      <w:r w:rsidRPr="00DC3FAA">
        <w:rPr>
          <w:rFonts w:ascii="Arial Gras" w:hAnsi="Arial Gras"/>
          <w:noProof/>
          <w:color w:val="000000"/>
        </w:rPr>
        <w:t>Article III.</w:t>
      </w:r>
      <w:r>
        <w:rPr>
          <w:noProof/>
        </w:rPr>
        <w:t xml:space="preserve"> Caractéristiques des offres remises</w:t>
      </w:r>
      <w:r>
        <w:rPr>
          <w:noProof/>
        </w:rPr>
        <w:tab/>
      </w:r>
      <w:r>
        <w:rPr>
          <w:noProof/>
        </w:rPr>
        <w:fldChar w:fldCharType="begin"/>
      </w:r>
      <w:r>
        <w:rPr>
          <w:noProof/>
        </w:rPr>
        <w:instrText xml:space="preserve"> PAGEREF _Toc202861553 \h </w:instrText>
      </w:r>
      <w:r>
        <w:rPr>
          <w:noProof/>
        </w:rPr>
      </w:r>
      <w:r>
        <w:rPr>
          <w:noProof/>
        </w:rPr>
        <w:fldChar w:fldCharType="separate"/>
      </w:r>
      <w:r>
        <w:rPr>
          <w:noProof/>
        </w:rPr>
        <w:t>9</w:t>
      </w:r>
      <w:r>
        <w:rPr>
          <w:noProof/>
        </w:rPr>
        <w:fldChar w:fldCharType="end"/>
      </w:r>
    </w:p>
    <w:p w:rsidR="00ED5BA5" w:rsidRDefault="00ED5BA5">
      <w:pPr>
        <w:pStyle w:val="TM2"/>
        <w:rPr>
          <w:rFonts w:asciiTheme="minorHAnsi" w:eastAsiaTheme="minorEastAsia" w:hAnsiTheme="minorHAnsi" w:cstheme="minorBidi"/>
          <w:smallCaps w:val="0"/>
          <w:noProof/>
          <w:sz w:val="22"/>
        </w:rPr>
      </w:pPr>
      <w:r w:rsidRPr="00DC3FAA">
        <w:rPr>
          <w:rFonts w:ascii="Arial" w:hAnsi="Arial"/>
          <w:noProof/>
        </w:rPr>
        <w:t>III.1</w:t>
      </w:r>
      <w:r>
        <w:rPr>
          <w:rFonts w:asciiTheme="minorHAnsi" w:eastAsiaTheme="minorEastAsia" w:hAnsiTheme="minorHAnsi" w:cstheme="minorBidi"/>
          <w:smallCaps w:val="0"/>
          <w:noProof/>
          <w:sz w:val="22"/>
        </w:rPr>
        <w:tab/>
      </w:r>
      <w:r>
        <w:rPr>
          <w:noProof/>
        </w:rPr>
        <w:t>Généralites</w:t>
      </w:r>
      <w:r>
        <w:rPr>
          <w:noProof/>
        </w:rPr>
        <w:tab/>
      </w:r>
      <w:r>
        <w:rPr>
          <w:noProof/>
        </w:rPr>
        <w:fldChar w:fldCharType="begin"/>
      </w:r>
      <w:r>
        <w:rPr>
          <w:noProof/>
        </w:rPr>
        <w:instrText xml:space="preserve"> PAGEREF _Toc202861554 \h </w:instrText>
      </w:r>
      <w:r>
        <w:rPr>
          <w:noProof/>
        </w:rPr>
      </w:r>
      <w:r>
        <w:rPr>
          <w:noProof/>
        </w:rPr>
        <w:fldChar w:fldCharType="separate"/>
      </w:r>
      <w:r>
        <w:rPr>
          <w:noProof/>
        </w:rPr>
        <w:t>9</w:t>
      </w:r>
      <w:r>
        <w:rPr>
          <w:noProof/>
        </w:rPr>
        <w:fldChar w:fldCharType="end"/>
      </w:r>
    </w:p>
    <w:p w:rsidR="00ED5BA5" w:rsidRDefault="00ED5BA5">
      <w:pPr>
        <w:pStyle w:val="TM3"/>
        <w:rPr>
          <w:rFonts w:asciiTheme="minorHAnsi" w:eastAsiaTheme="minorEastAsia" w:hAnsiTheme="minorHAnsi" w:cstheme="minorBidi"/>
          <w:i w:val="0"/>
          <w:smallCaps w:val="0"/>
          <w:noProof/>
          <w:sz w:val="22"/>
        </w:rPr>
      </w:pPr>
      <w:r w:rsidRPr="00DC3FAA">
        <w:rPr>
          <w:noProof/>
          <w:color w:val="000000"/>
        </w:rPr>
        <w:t>III.1.1</w:t>
      </w:r>
      <w:r>
        <w:rPr>
          <w:rFonts w:asciiTheme="minorHAnsi" w:eastAsiaTheme="minorEastAsia" w:hAnsiTheme="minorHAnsi" w:cstheme="minorBidi"/>
          <w:i w:val="0"/>
          <w:smallCaps w:val="0"/>
          <w:noProof/>
          <w:sz w:val="22"/>
        </w:rPr>
        <w:tab/>
      </w:r>
      <w:r w:rsidRPr="00DC3FAA">
        <w:rPr>
          <w:noProof/>
        </w:rPr>
        <w:t>Acceptation sans réserve des cahiers des charges</w:t>
      </w:r>
      <w:r>
        <w:rPr>
          <w:noProof/>
        </w:rPr>
        <w:tab/>
      </w:r>
      <w:r>
        <w:rPr>
          <w:noProof/>
        </w:rPr>
        <w:fldChar w:fldCharType="begin"/>
      </w:r>
      <w:r>
        <w:rPr>
          <w:noProof/>
        </w:rPr>
        <w:instrText xml:space="preserve"> PAGEREF _Toc202861555 \h </w:instrText>
      </w:r>
      <w:r>
        <w:rPr>
          <w:noProof/>
        </w:rPr>
      </w:r>
      <w:r>
        <w:rPr>
          <w:noProof/>
        </w:rPr>
        <w:fldChar w:fldCharType="separate"/>
      </w:r>
      <w:r>
        <w:rPr>
          <w:noProof/>
        </w:rPr>
        <w:t>9</w:t>
      </w:r>
      <w:r>
        <w:rPr>
          <w:noProof/>
        </w:rPr>
        <w:fldChar w:fldCharType="end"/>
      </w:r>
    </w:p>
    <w:p w:rsidR="00ED5BA5" w:rsidRDefault="00ED5BA5">
      <w:pPr>
        <w:pStyle w:val="TM3"/>
        <w:rPr>
          <w:rFonts w:asciiTheme="minorHAnsi" w:eastAsiaTheme="minorEastAsia" w:hAnsiTheme="minorHAnsi" w:cstheme="minorBidi"/>
          <w:i w:val="0"/>
          <w:smallCaps w:val="0"/>
          <w:noProof/>
          <w:sz w:val="22"/>
        </w:rPr>
      </w:pPr>
      <w:r w:rsidRPr="00DC3FAA">
        <w:rPr>
          <w:noProof/>
          <w:color w:val="000000"/>
        </w:rPr>
        <w:t>III.1.2</w:t>
      </w:r>
      <w:r>
        <w:rPr>
          <w:rFonts w:asciiTheme="minorHAnsi" w:eastAsiaTheme="minorEastAsia" w:hAnsiTheme="minorHAnsi" w:cstheme="minorBidi"/>
          <w:i w:val="0"/>
          <w:smallCaps w:val="0"/>
          <w:noProof/>
          <w:sz w:val="22"/>
        </w:rPr>
        <w:tab/>
      </w:r>
      <w:r w:rsidRPr="00DC3FAA">
        <w:rPr>
          <w:noProof/>
        </w:rPr>
        <w:t>Langue utilisée et monnaie</w:t>
      </w:r>
      <w:r>
        <w:rPr>
          <w:noProof/>
        </w:rPr>
        <w:tab/>
      </w:r>
      <w:r>
        <w:rPr>
          <w:noProof/>
        </w:rPr>
        <w:fldChar w:fldCharType="begin"/>
      </w:r>
      <w:r>
        <w:rPr>
          <w:noProof/>
        </w:rPr>
        <w:instrText xml:space="preserve"> PAGEREF _Toc202861556 \h </w:instrText>
      </w:r>
      <w:r>
        <w:rPr>
          <w:noProof/>
        </w:rPr>
      </w:r>
      <w:r>
        <w:rPr>
          <w:noProof/>
        </w:rPr>
        <w:fldChar w:fldCharType="separate"/>
      </w:r>
      <w:r>
        <w:rPr>
          <w:noProof/>
        </w:rPr>
        <w:t>9</w:t>
      </w:r>
      <w:r>
        <w:rPr>
          <w:noProof/>
        </w:rPr>
        <w:fldChar w:fldCharType="end"/>
      </w:r>
    </w:p>
    <w:p w:rsidR="00ED5BA5" w:rsidRDefault="00ED5BA5">
      <w:pPr>
        <w:pStyle w:val="TM2"/>
        <w:rPr>
          <w:rFonts w:asciiTheme="minorHAnsi" w:eastAsiaTheme="minorEastAsia" w:hAnsiTheme="minorHAnsi" w:cstheme="minorBidi"/>
          <w:smallCaps w:val="0"/>
          <w:noProof/>
          <w:sz w:val="22"/>
        </w:rPr>
      </w:pPr>
      <w:r w:rsidRPr="00DC3FAA">
        <w:rPr>
          <w:rFonts w:ascii="Arial" w:hAnsi="Arial"/>
          <w:noProof/>
        </w:rPr>
        <w:t>III.2</w:t>
      </w:r>
      <w:r>
        <w:rPr>
          <w:rFonts w:asciiTheme="minorHAnsi" w:eastAsiaTheme="minorEastAsia" w:hAnsiTheme="minorHAnsi" w:cstheme="minorBidi"/>
          <w:smallCaps w:val="0"/>
          <w:noProof/>
          <w:sz w:val="22"/>
        </w:rPr>
        <w:tab/>
      </w:r>
      <w:r>
        <w:rPr>
          <w:noProof/>
        </w:rPr>
        <w:t>Date-limite de réception des offres</w:t>
      </w:r>
      <w:r>
        <w:rPr>
          <w:noProof/>
        </w:rPr>
        <w:tab/>
      </w:r>
      <w:r>
        <w:rPr>
          <w:noProof/>
        </w:rPr>
        <w:fldChar w:fldCharType="begin"/>
      </w:r>
      <w:r>
        <w:rPr>
          <w:noProof/>
        </w:rPr>
        <w:instrText xml:space="preserve"> PAGEREF _Toc202861557 \h </w:instrText>
      </w:r>
      <w:r>
        <w:rPr>
          <w:noProof/>
        </w:rPr>
      </w:r>
      <w:r>
        <w:rPr>
          <w:noProof/>
        </w:rPr>
        <w:fldChar w:fldCharType="separate"/>
      </w:r>
      <w:r>
        <w:rPr>
          <w:noProof/>
        </w:rPr>
        <w:t>9</w:t>
      </w:r>
      <w:r>
        <w:rPr>
          <w:noProof/>
        </w:rPr>
        <w:fldChar w:fldCharType="end"/>
      </w:r>
    </w:p>
    <w:p w:rsidR="00ED5BA5" w:rsidRDefault="00ED5BA5">
      <w:pPr>
        <w:pStyle w:val="TM3"/>
        <w:rPr>
          <w:rFonts w:asciiTheme="minorHAnsi" w:eastAsiaTheme="minorEastAsia" w:hAnsiTheme="minorHAnsi" w:cstheme="minorBidi"/>
          <w:i w:val="0"/>
          <w:smallCaps w:val="0"/>
          <w:noProof/>
          <w:sz w:val="22"/>
        </w:rPr>
      </w:pPr>
      <w:r w:rsidRPr="00DC3FAA">
        <w:rPr>
          <w:noProof/>
          <w:color w:val="000000"/>
        </w:rPr>
        <w:t>III.2.1</w:t>
      </w:r>
      <w:r>
        <w:rPr>
          <w:rFonts w:asciiTheme="minorHAnsi" w:eastAsiaTheme="minorEastAsia" w:hAnsiTheme="minorHAnsi" w:cstheme="minorBidi"/>
          <w:i w:val="0"/>
          <w:smallCaps w:val="0"/>
          <w:noProof/>
          <w:sz w:val="22"/>
        </w:rPr>
        <w:tab/>
      </w:r>
      <w:r w:rsidRPr="00DC3FAA">
        <w:rPr>
          <w:noProof/>
        </w:rPr>
        <w:t>Date applicable à la présente consultation</w:t>
      </w:r>
      <w:r>
        <w:rPr>
          <w:noProof/>
        </w:rPr>
        <w:tab/>
      </w:r>
      <w:r>
        <w:rPr>
          <w:noProof/>
        </w:rPr>
        <w:fldChar w:fldCharType="begin"/>
      </w:r>
      <w:r>
        <w:rPr>
          <w:noProof/>
        </w:rPr>
        <w:instrText xml:space="preserve"> PAGEREF _Toc202861558 \h </w:instrText>
      </w:r>
      <w:r>
        <w:rPr>
          <w:noProof/>
        </w:rPr>
      </w:r>
      <w:r>
        <w:rPr>
          <w:noProof/>
        </w:rPr>
        <w:fldChar w:fldCharType="separate"/>
      </w:r>
      <w:r>
        <w:rPr>
          <w:noProof/>
        </w:rPr>
        <w:t>9</w:t>
      </w:r>
      <w:r>
        <w:rPr>
          <w:noProof/>
        </w:rPr>
        <w:fldChar w:fldCharType="end"/>
      </w:r>
    </w:p>
    <w:p w:rsidR="00ED5BA5" w:rsidRDefault="00ED5BA5">
      <w:pPr>
        <w:pStyle w:val="TM3"/>
        <w:rPr>
          <w:rFonts w:asciiTheme="minorHAnsi" w:eastAsiaTheme="minorEastAsia" w:hAnsiTheme="minorHAnsi" w:cstheme="minorBidi"/>
          <w:i w:val="0"/>
          <w:smallCaps w:val="0"/>
          <w:noProof/>
          <w:sz w:val="22"/>
        </w:rPr>
      </w:pPr>
      <w:r w:rsidRPr="00DC3FAA">
        <w:rPr>
          <w:noProof/>
          <w:color w:val="000000"/>
        </w:rPr>
        <w:t>III.2.2</w:t>
      </w:r>
      <w:r>
        <w:rPr>
          <w:rFonts w:asciiTheme="minorHAnsi" w:eastAsiaTheme="minorEastAsia" w:hAnsiTheme="minorHAnsi" w:cstheme="minorBidi"/>
          <w:i w:val="0"/>
          <w:smallCaps w:val="0"/>
          <w:noProof/>
          <w:sz w:val="22"/>
        </w:rPr>
        <w:tab/>
      </w:r>
      <w:r w:rsidRPr="00DC3FAA">
        <w:rPr>
          <w:noProof/>
        </w:rPr>
        <w:t>Report de la date-limite de réception des offres</w:t>
      </w:r>
      <w:r>
        <w:rPr>
          <w:noProof/>
        </w:rPr>
        <w:tab/>
      </w:r>
      <w:r>
        <w:rPr>
          <w:noProof/>
        </w:rPr>
        <w:fldChar w:fldCharType="begin"/>
      </w:r>
      <w:r>
        <w:rPr>
          <w:noProof/>
        </w:rPr>
        <w:instrText xml:space="preserve"> PAGEREF _Toc202861559 \h </w:instrText>
      </w:r>
      <w:r>
        <w:rPr>
          <w:noProof/>
        </w:rPr>
      </w:r>
      <w:r>
        <w:rPr>
          <w:noProof/>
        </w:rPr>
        <w:fldChar w:fldCharType="separate"/>
      </w:r>
      <w:r>
        <w:rPr>
          <w:noProof/>
        </w:rPr>
        <w:t>9</w:t>
      </w:r>
      <w:r>
        <w:rPr>
          <w:noProof/>
        </w:rPr>
        <w:fldChar w:fldCharType="end"/>
      </w:r>
    </w:p>
    <w:p w:rsidR="00ED5BA5" w:rsidRDefault="00ED5BA5">
      <w:pPr>
        <w:pStyle w:val="TM2"/>
        <w:rPr>
          <w:rFonts w:asciiTheme="minorHAnsi" w:eastAsiaTheme="minorEastAsia" w:hAnsiTheme="minorHAnsi" w:cstheme="minorBidi"/>
          <w:smallCaps w:val="0"/>
          <w:noProof/>
          <w:sz w:val="22"/>
        </w:rPr>
      </w:pPr>
      <w:r w:rsidRPr="00DC3FAA">
        <w:rPr>
          <w:rFonts w:ascii="Arial" w:hAnsi="Arial"/>
          <w:noProof/>
        </w:rPr>
        <w:t>III.3</w:t>
      </w:r>
      <w:r>
        <w:rPr>
          <w:rFonts w:asciiTheme="minorHAnsi" w:eastAsiaTheme="minorEastAsia" w:hAnsiTheme="minorHAnsi" w:cstheme="minorBidi"/>
          <w:smallCaps w:val="0"/>
          <w:noProof/>
          <w:sz w:val="22"/>
        </w:rPr>
        <w:tab/>
      </w:r>
      <w:r>
        <w:rPr>
          <w:noProof/>
        </w:rPr>
        <w:t>Transmission des plis</w:t>
      </w:r>
      <w:r>
        <w:rPr>
          <w:noProof/>
        </w:rPr>
        <w:tab/>
      </w:r>
      <w:r>
        <w:rPr>
          <w:noProof/>
        </w:rPr>
        <w:fldChar w:fldCharType="begin"/>
      </w:r>
      <w:r>
        <w:rPr>
          <w:noProof/>
        </w:rPr>
        <w:instrText xml:space="preserve"> PAGEREF _Toc202861560 \h </w:instrText>
      </w:r>
      <w:r>
        <w:rPr>
          <w:noProof/>
        </w:rPr>
      </w:r>
      <w:r>
        <w:rPr>
          <w:noProof/>
        </w:rPr>
        <w:fldChar w:fldCharType="separate"/>
      </w:r>
      <w:r>
        <w:rPr>
          <w:noProof/>
        </w:rPr>
        <w:t>10</w:t>
      </w:r>
      <w:r>
        <w:rPr>
          <w:noProof/>
        </w:rPr>
        <w:fldChar w:fldCharType="end"/>
      </w:r>
    </w:p>
    <w:p w:rsidR="00ED5BA5" w:rsidRDefault="00ED5BA5">
      <w:pPr>
        <w:pStyle w:val="TM3"/>
        <w:rPr>
          <w:rFonts w:asciiTheme="minorHAnsi" w:eastAsiaTheme="minorEastAsia" w:hAnsiTheme="minorHAnsi" w:cstheme="minorBidi"/>
          <w:i w:val="0"/>
          <w:smallCaps w:val="0"/>
          <w:noProof/>
          <w:sz w:val="22"/>
        </w:rPr>
      </w:pPr>
      <w:r w:rsidRPr="00DC3FAA">
        <w:rPr>
          <w:noProof/>
          <w:color w:val="000000"/>
        </w:rPr>
        <w:t>III.3.1</w:t>
      </w:r>
      <w:r>
        <w:rPr>
          <w:rFonts w:asciiTheme="minorHAnsi" w:eastAsiaTheme="minorEastAsia" w:hAnsiTheme="minorHAnsi" w:cstheme="minorBidi"/>
          <w:i w:val="0"/>
          <w:smallCaps w:val="0"/>
          <w:noProof/>
          <w:sz w:val="22"/>
        </w:rPr>
        <w:tab/>
      </w:r>
      <w:r w:rsidRPr="00DC3FAA">
        <w:rPr>
          <w:noProof/>
        </w:rPr>
        <w:t>Condition de transmission des plis</w:t>
      </w:r>
      <w:r>
        <w:rPr>
          <w:noProof/>
        </w:rPr>
        <w:tab/>
      </w:r>
      <w:r>
        <w:rPr>
          <w:noProof/>
        </w:rPr>
        <w:fldChar w:fldCharType="begin"/>
      </w:r>
      <w:r>
        <w:rPr>
          <w:noProof/>
        </w:rPr>
        <w:instrText xml:space="preserve"> PAGEREF _Toc202861561 \h </w:instrText>
      </w:r>
      <w:r>
        <w:rPr>
          <w:noProof/>
        </w:rPr>
      </w:r>
      <w:r>
        <w:rPr>
          <w:noProof/>
        </w:rPr>
        <w:fldChar w:fldCharType="separate"/>
      </w:r>
      <w:r>
        <w:rPr>
          <w:noProof/>
        </w:rPr>
        <w:t>10</w:t>
      </w:r>
      <w:r>
        <w:rPr>
          <w:noProof/>
        </w:rPr>
        <w:fldChar w:fldCharType="end"/>
      </w:r>
    </w:p>
    <w:p w:rsidR="00ED5BA5" w:rsidRDefault="00ED5BA5">
      <w:pPr>
        <w:pStyle w:val="TM3"/>
        <w:rPr>
          <w:rFonts w:asciiTheme="minorHAnsi" w:eastAsiaTheme="minorEastAsia" w:hAnsiTheme="minorHAnsi" w:cstheme="minorBidi"/>
          <w:i w:val="0"/>
          <w:smallCaps w:val="0"/>
          <w:noProof/>
          <w:sz w:val="22"/>
        </w:rPr>
      </w:pPr>
      <w:r w:rsidRPr="00DC3FAA">
        <w:rPr>
          <w:noProof/>
          <w:color w:val="000000"/>
        </w:rPr>
        <w:t>III.3.2</w:t>
      </w:r>
      <w:r>
        <w:rPr>
          <w:rFonts w:asciiTheme="minorHAnsi" w:eastAsiaTheme="minorEastAsia" w:hAnsiTheme="minorHAnsi" w:cstheme="minorBidi"/>
          <w:i w:val="0"/>
          <w:smallCaps w:val="0"/>
          <w:noProof/>
          <w:sz w:val="22"/>
        </w:rPr>
        <w:tab/>
      </w:r>
      <w:r w:rsidRPr="00DC3FAA">
        <w:rPr>
          <w:noProof/>
        </w:rPr>
        <w:t>Transmission de la copie de sauvegarde</w:t>
      </w:r>
      <w:r>
        <w:rPr>
          <w:noProof/>
        </w:rPr>
        <w:tab/>
      </w:r>
      <w:r>
        <w:rPr>
          <w:noProof/>
        </w:rPr>
        <w:fldChar w:fldCharType="begin"/>
      </w:r>
      <w:r>
        <w:rPr>
          <w:noProof/>
        </w:rPr>
        <w:instrText xml:space="preserve"> PAGEREF _Toc202861562 \h </w:instrText>
      </w:r>
      <w:r>
        <w:rPr>
          <w:noProof/>
        </w:rPr>
      </w:r>
      <w:r>
        <w:rPr>
          <w:noProof/>
        </w:rPr>
        <w:fldChar w:fldCharType="separate"/>
      </w:r>
      <w:r>
        <w:rPr>
          <w:noProof/>
        </w:rPr>
        <w:t>12</w:t>
      </w:r>
      <w:r>
        <w:rPr>
          <w:noProof/>
        </w:rPr>
        <w:fldChar w:fldCharType="end"/>
      </w:r>
    </w:p>
    <w:p w:rsidR="00ED5BA5" w:rsidRDefault="00ED5BA5">
      <w:pPr>
        <w:pStyle w:val="TM3"/>
        <w:rPr>
          <w:rFonts w:asciiTheme="minorHAnsi" w:eastAsiaTheme="minorEastAsia" w:hAnsiTheme="minorHAnsi" w:cstheme="minorBidi"/>
          <w:i w:val="0"/>
          <w:smallCaps w:val="0"/>
          <w:noProof/>
          <w:sz w:val="22"/>
        </w:rPr>
      </w:pPr>
      <w:r w:rsidRPr="00DC3FAA">
        <w:rPr>
          <w:noProof/>
          <w:color w:val="000000"/>
        </w:rPr>
        <w:t>III.3.3</w:t>
      </w:r>
      <w:r>
        <w:rPr>
          <w:rFonts w:asciiTheme="minorHAnsi" w:eastAsiaTheme="minorEastAsia" w:hAnsiTheme="minorHAnsi" w:cstheme="minorBidi"/>
          <w:i w:val="0"/>
          <w:smallCaps w:val="0"/>
          <w:noProof/>
          <w:sz w:val="22"/>
        </w:rPr>
        <w:tab/>
      </w:r>
      <w:r w:rsidRPr="00DC3FAA">
        <w:rPr>
          <w:noProof/>
        </w:rPr>
        <w:t>Antivirus</w:t>
      </w:r>
      <w:r>
        <w:rPr>
          <w:noProof/>
        </w:rPr>
        <w:tab/>
      </w:r>
      <w:r>
        <w:rPr>
          <w:noProof/>
        </w:rPr>
        <w:fldChar w:fldCharType="begin"/>
      </w:r>
      <w:r>
        <w:rPr>
          <w:noProof/>
        </w:rPr>
        <w:instrText xml:space="preserve"> PAGEREF _Toc202861563 \h </w:instrText>
      </w:r>
      <w:r>
        <w:rPr>
          <w:noProof/>
        </w:rPr>
      </w:r>
      <w:r>
        <w:rPr>
          <w:noProof/>
        </w:rPr>
        <w:fldChar w:fldCharType="separate"/>
      </w:r>
      <w:r>
        <w:rPr>
          <w:noProof/>
        </w:rPr>
        <w:t>13</w:t>
      </w:r>
      <w:r>
        <w:rPr>
          <w:noProof/>
        </w:rPr>
        <w:fldChar w:fldCharType="end"/>
      </w:r>
    </w:p>
    <w:p w:rsidR="00ED5BA5" w:rsidRDefault="00ED5BA5">
      <w:pPr>
        <w:pStyle w:val="TM2"/>
        <w:rPr>
          <w:rFonts w:asciiTheme="minorHAnsi" w:eastAsiaTheme="minorEastAsia" w:hAnsiTheme="minorHAnsi" w:cstheme="minorBidi"/>
          <w:smallCaps w:val="0"/>
          <w:noProof/>
          <w:sz w:val="22"/>
        </w:rPr>
      </w:pPr>
      <w:r w:rsidRPr="00DC3FAA">
        <w:rPr>
          <w:rFonts w:ascii="Arial" w:hAnsi="Arial"/>
          <w:noProof/>
        </w:rPr>
        <w:t>III.4</w:t>
      </w:r>
      <w:r>
        <w:rPr>
          <w:rFonts w:asciiTheme="minorHAnsi" w:eastAsiaTheme="minorEastAsia" w:hAnsiTheme="minorHAnsi" w:cstheme="minorBidi"/>
          <w:smallCaps w:val="0"/>
          <w:noProof/>
          <w:sz w:val="22"/>
        </w:rPr>
        <w:tab/>
      </w:r>
      <w:r>
        <w:rPr>
          <w:noProof/>
        </w:rPr>
        <w:t>Durée de validité des offres</w:t>
      </w:r>
      <w:r>
        <w:rPr>
          <w:noProof/>
        </w:rPr>
        <w:tab/>
      </w:r>
      <w:r>
        <w:rPr>
          <w:noProof/>
        </w:rPr>
        <w:fldChar w:fldCharType="begin"/>
      </w:r>
      <w:r>
        <w:rPr>
          <w:noProof/>
        </w:rPr>
        <w:instrText xml:space="preserve"> PAGEREF _Toc202861564 \h </w:instrText>
      </w:r>
      <w:r>
        <w:rPr>
          <w:noProof/>
        </w:rPr>
      </w:r>
      <w:r>
        <w:rPr>
          <w:noProof/>
        </w:rPr>
        <w:fldChar w:fldCharType="separate"/>
      </w:r>
      <w:r>
        <w:rPr>
          <w:noProof/>
        </w:rPr>
        <w:t>13</w:t>
      </w:r>
      <w:r>
        <w:rPr>
          <w:noProof/>
        </w:rPr>
        <w:fldChar w:fldCharType="end"/>
      </w:r>
    </w:p>
    <w:p w:rsidR="00ED5BA5" w:rsidRDefault="00ED5BA5">
      <w:pPr>
        <w:pStyle w:val="TM3"/>
        <w:rPr>
          <w:rFonts w:asciiTheme="minorHAnsi" w:eastAsiaTheme="minorEastAsia" w:hAnsiTheme="minorHAnsi" w:cstheme="minorBidi"/>
          <w:i w:val="0"/>
          <w:smallCaps w:val="0"/>
          <w:noProof/>
          <w:sz w:val="22"/>
        </w:rPr>
      </w:pPr>
      <w:r w:rsidRPr="00DC3FAA">
        <w:rPr>
          <w:noProof/>
          <w:color w:val="000000"/>
        </w:rPr>
        <w:t>III.4.1</w:t>
      </w:r>
      <w:r>
        <w:rPr>
          <w:rFonts w:asciiTheme="minorHAnsi" w:eastAsiaTheme="minorEastAsia" w:hAnsiTheme="minorHAnsi" w:cstheme="minorBidi"/>
          <w:i w:val="0"/>
          <w:smallCaps w:val="0"/>
          <w:noProof/>
          <w:sz w:val="22"/>
        </w:rPr>
        <w:tab/>
      </w:r>
      <w:r w:rsidRPr="00DC3FAA">
        <w:rPr>
          <w:noProof/>
        </w:rPr>
        <w:t>Durée minimale applicable à la présente consultation</w:t>
      </w:r>
      <w:r>
        <w:rPr>
          <w:noProof/>
        </w:rPr>
        <w:tab/>
      </w:r>
      <w:r>
        <w:rPr>
          <w:noProof/>
        </w:rPr>
        <w:fldChar w:fldCharType="begin"/>
      </w:r>
      <w:r>
        <w:rPr>
          <w:noProof/>
        </w:rPr>
        <w:instrText xml:space="preserve"> PAGEREF _Toc202861565 \h </w:instrText>
      </w:r>
      <w:r>
        <w:rPr>
          <w:noProof/>
        </w:rPr>
      </w:r>
      <w:r>
        <w:rPr>
          <w:noProof/>
        </w:rPr>
        <w:fldChar w:fldCharType="separate"/>
      </w:r>
      <w:r>
        <w:rPr>
          <w:noProof/>
        </w:rPr>
        <w:t>13</w:t>
      </w:r>
      <w:r>
        <w:rPr>
          <w:noProof/>
        </w:rPr>
        <w:fldChar w:fldCharType="end"/>
      </w:r>
    </w:p>
    <w:p w:rsidR="00ED5BA5" w:rsidRDefault="00ED5BA5">
      <w:pPr>
        <w:pStyle w:val="TM3"/>
        <w:rPr>
          <w:rFonts w:asciiTheme="minorHAnsi" w:eastAsiaTheme="minorEastAsia" w:hAnsiTheme="minorHAnsi" w:cstheme="minorBidi"/>
          <w:i w:val="0"/>
          <w:smallCaps w:val="0"/>
          <w:noProof/>
          <w:sz w:val="22"/>
        </w:rPr>
      </w:pPr>
      <w:r w:rsidRPr="00DC3FAA">
        <w:rPr>
          <w:noProof/>
          <w:color w:val="000000"/>
        </w:rPr>
        <w:t>III.4.2</w:t>
      </w:r>
      <w:r>
        <w:rPr>
          <w:rFonts w:asciiTheme="minorHAnsi" w:eastAsiaTheme="minorEastAsia" w:hAnsiTheme="minorHAnsi" w:cstheme="minorBidi"/>
          <w:i w:val="0"/>
          <w:smallCaps w:val="0"/>
          <w:noProof/>
          <w:sz w:val="22"/>
        </w:rPr>
        <w:tab/>
      </w:r>
      <w:r w:rsidRPr="00DC3FAA">
        <w:rPr>
          <w:noProof/>
        </w:rPr>
        <w:t>Prorogation de la date limite de validité des offres</w:t>
      </w:r>
      <w:r>
        <w:rPr>
          <w:noProof/>
        </w:rPr>
        <w:tab/>
      </w:r>
      <w:r>
        <w:rPr>
          <w:noProof/>
        </w:rPr>
        <w:fldChar w:fldCharType="begin"/>
      </w:r>
      <w:r>
        <w:rPr>
          <w:noProof/>
        </w:rPr>
        <w:instrText xml:space="preserve"> PAGEREF _Toc202861566 \h </w:instrText>
      </w:r>
      <w:r>
        <w:rPr>
          <w:noProof/>
        </w:rPr>
      </w:r>
      <w:r>
        <w:rPr>
          <w:noProof/>
        </w:rPr>
        <w:fldChar w:fldCharType="separate"/>
      </w:r>
      <w:r>
        <w:rPr>
          <w:noProof/>
        </w:rPr>
        <w:t>13</w:t>
      </w:r>
      <w:r>
        <w:rPr>
          <w:noProof/>
        </w:rPr>
        <w:fldChar w:fldCharType="end"/>
      </w:r>
    </w:p>
    <w:p w:rsidR="00ED5BA5" w:rsidRDefault="00ED5BA5">
      <w:pPr>
        <w:pStyle w:val="TM1"/>
        <w:rPr>
          <w:rFonts w:asciiTheme="minorHAnsi" w:eastAsiaTheme="minorEastAsia" w:hAnsiTheme="minorHAnsi" w:cstheme="minorBidi"/>
          <w:smallCaps w:val="0"/>
          <w:noProof/>
          <w:sz w:val="22"/>
          <w:szCs w:val="22"/>
        </w:rPr>
      </w:pPr>
      <w:r w:rsidRPr="00DC3FAA">
        <w:rPr>
          <w:rFonts w:ascii="Arial Gras" w:hAnsi="Arial Gras"/>
          <w:noProof/>
          <w:color w:val="000000"/>
        </w:rPr>
        <w:t>Article IV.</w:t>
      </w:r>
      <w:r>
        <w:rPr>
          <w:noProof/>
        </w:rPr>
        <w:t xml:space="preserve"> Contenu du pli du candidat</w:t>
      </w:r>
      <w:r>
        <w:rPr>
          <w:noProof/>
        </w:rPr>
        <w:tab/>
      </w:r>
      <w:r>
        <w:rPr>
          <w:noProof/>
        </w:rPr>
        <w:fldChar w:fldCharType="begin"/>
      </w:r>
      <w:r>
        <w:rPr>
          <w:noProof/>
        </w:rPr>
        <w:instrText xml:space="preserve"> PAGEREF _Toc202861567 \h </w:instrText>
      </w:r>
      <w:r>
        <w:rPr>
          <w:noProof/>
        </w:rPr>
      </w:r>
      <w:r>
        <w:rPr>
          <w:noProof/>
        </w:rPr>
        <w:fldChar w:fldCharType="separate"/>
      </w:r>
      <w:r>
        <w:rPr>
          <w:noProof/>
        </w:rPr>
        <w:t>14</w:t>
      </w:r>
      <w:r>
        <w:rPr>
          <w:noProof/>
        </w:rPr>
        <w:fldChar w:fldCharType="end"/>
      </w:r>
    </w:p>
    <w:p w:rsidR="00ED5BA5" w:rsidRDefault="00ED5BA5">
      <w:pPr>
        <w:pStyle w:val="TM2"/>
        <w:rPr>
          <w:rFonts w:asciiTheme="minorHAnsi" w:eastAsiaTheme="minorEastAsia" w:hAnsiTheme="minorHAnsi" w:cstheme="minorBidi"/>
          <w:smallCaps w:val="0"/>
          <w:noProof/>
          <w:sz w:val="22"/>
        </w:rPr>
      </w:pPr>
      <w:r w:rsidRPr="00DC3FAA">
        <w:rPr>
          <w:rFonts w:ascii="Arial" w:hAnsi="Arial"/>
          <w:noProof/>
        </w:rPr>
        <w:t>IV.1</w:t>
      </w:r>
      <w:r>
        <w:rPr>
          <w:rFonts w:asciiTheme="minorHAnsi" w:eastAsiaTheme="minorEastAsia" w:hAnsiTheme="minorHAnsi" w:cstheme="minorBidi"/>
          <w:smallCaps w:val="0"/>
          <w:noProof/>
          <w:sz w:val="22"/>
        </w:rPr>
        <w:tab/>
      </w:r>
      <w:r>
        <w:rPr>
          <w:noProof/>
        </w:rPr>
        <w:t>Eléments de candidature</w:t>
      </w:r>
      <w:r>
        <w:rPr>
          <w:noProof/>
        </w:rPr>
        <w:tab/>
      </w:r>
      <w:r>
        <w:rPr>
          <w:noProof/>
        </w:rPr>
        <w:fldChar w:fldCharType="begin"/>
      </w:r>
      <w:r>
        <w:rPr>
          <w:noProof/>
        </w:rPr>
        <w:instrText xml:space="preserve"> PAGEREF _Toc202861568 \h </w:instrText>
      </w:r>
      <w:r>
        <w:rPr>
          <w:noProof/>
        </w:rPr>
      </w:r>
      <w:r>
        <w:rPr>
          <w:noProof/>
        </w:rPr>
        <w:fldChar w:fldCharType="separate"/>
      </w:r>
      <w:r>
        <w:rPr>
          <w:noProof/>
        </w:rPr>
        <w:t>14</w:t>
      </w:r>
      <w:r>
        <w:rPr>
          <w:noProof/>
        </w:rPr>
        <w:fldChar w:fldCharType="end"/>
      </w:r>
    </w:p>
    <w:p w:rsidR="00ED5BA5" w:rsidRDefault="00ED5BA5">
      <w:pPr>
        <w:pStyle w:val="TM3"/>
        <w:rPr>
          <w:rFonts w:asciiTheme="minorHAnsi" w:eastAsiaTheme="minorEastAsia" w:hAnsiTheme="minorHAnsi" w:cstheme="minorBidi"/>
          <w:i w:val="0"/>
          <w:smallCaps w:val="0"/>
          <w:noProof/>
          <w:sz w:val="22"/>
        </w:rPr>
      </w:pPr>
      <w:r w:rsidRPr="00DC3FAA">
        <w:rPr>
          <w:noProof/>
          <w:color w:val="000000"/>
        </w:rPr>
        <w:t>IV.1.1</w:t>
      </w:r>
      <w:r>
        <w:rPr>
          <w:rFonts w:asciiTheme="minorHAnsi" w:eastAsiaTheme="minorEastAsia" w:hAnsiTheme="minorHAnsi" w:cstheme="minorBidi"/>
          <w:i w:val="0"/>
          <w:smallCaps w:val="0"/>
          <w:noProof/>
          <w:sz w:val="22"/>
        </w:rPr>
        <w:tab/>
      </w:r>
      <w:r w:rsidRPr="00DC3FAA">
        <w:rPr>
          <w:noProof/>
        </w:rPr>
        <w:t>Modalités de communication et contenu des éléments de candidature</w:t>
      </w:r>
      <w:r>
        <w:rPr>
          <w:noProof/>
        </w:rPr>
        <w:tab/>
      </w:r>
      <w:r>
        <w:rPr>
          <w:noProof/>
        </w:rPr>
        <w:fldChar w:fldCharType="begin"/>
      </w:r>
      <w:r>
        <w:rPr>
          <w:noProof/>
        </w:rPr>
        <w:instrText xml:space="preserve"> PAGEREF _Toc202861569 \h </w:instrText>
      </w:r>
      <w:r>
        <w:rPr>
          <w:noProof/>
        </w:rPr>
      </w:r>
      <w:r>
        <w:rPr>
          <w:noProof/>
        </w:rPr>
        <w:fldChar w:fldCharType="separate"/>
      </w:r>
      <w:r>
        <w:rPr>
          <w:noProof/>
        </w:rPr>
        <w:t>14</w:t>
      </w:r>
      <w:r>
        <w:rPr>
          <w:noProof/>
        </w:rPr>
        <w:fldChar w:fldCharType="end"/>
      </w:r>
    </w:p>
    <w:p w:rsidR="00ED5BA5" w:rsidRDefault="00ED5BA5">
      <w:pPr>
        <w:pStyle w:val="TM3"/>
        <w:rPr>
          <w:rFonts w:asciiTheme="minorHAnsi" w:eastAsiaTheme="minorEastAsia" w:hAnsiTheme="minorHAnsi" w:cstheme="minorBidi"/>
          <w:i w:val="0"/>
          <w:smallCaps w:val="0"/>
          <w:noProof/>
          <w:sz w:val="22"/>
        </w:rPr>
      </w:pPr>
      <w:r w:rsidRPr="00DC3FAA">
        <w:rPr>
          <w:noProof/>
          <w:color w:val="000000"/>
        </w:rPr>
        <w:t>IV.1.3</w:t>
      </w:r>
      <w:r>
        <w:rPr>
          <w:rFonts w:asciiTheme="minorHAnsi" w:eastAsiaTheme="minorEastAsia" w:hAnsiTheme="minorHAnsi" w:cstheme="minorBidi"/>
          <w:i w:val="0"/>
          <w:smallCaps w:val="0"/>
          <w:noProof/>
          <w:sz w:val="22"/>
        </w:rPr>
        <w:tab/>
      </w:r>
      <w:r w:rsidRPr="00DC3FAA">
        <w:rPr>
          <w:noProof/>
        </w:rPr>
        <w:t>Précisions</w:t>
      </w:r>
      <w:r>
        <w:rPr>
          <w:noProof/>
        </w:rPr>
        <w:tab/>
      </w:r>
      <w:r>
        <w:rPr>
          <w:noProof/>
        </w:rPr>
        <w:fldChar w:fldCharType="begin"/>
      </w:r>
      <w:r>
        <w:rPr>
          <w:noProof/>
        </w:rPr>
        <w:instrText xml:space="preserve"> PAGEREF _Toc202861570 \h </w:instrText>
      </w:r>
      <w:r>
        <w:rPr>
          <w:noProof/>
        </w:rPr>
      </w:r>
      <w:r>
        <w:rPr>
          <w:noProof/>
        </w:rPr>
        <w:fldChar w:fldCharType="separate"/>
      </w:r>
      <w:r>
        <w:rPr>
          <w:noProof/>
        </w:rPr>
        <w:t>16</w:t>
      </w:r>
      <w:r>
        <w:rPr>
          <w:noProof/>
        </w:rPr>
        <w:fldChar w:fldCharType="end"/>
      </w:r>
    </w:p>
    <w:p w:rsidR="00ED5BA5" w:rsidRDefault="00ED5BA5">
      <w:pPr>
        <w:pStyle w:val="TM3"/>
        <w:rPr>
          <w:rFonts w:asciiTheme="minorHAnsi" w:eastAsiaTheme="minorEastAsia" w:hAnsiTheme="minorHAnsi" w:cstheme="minorBidi"/>
          <w:i w:val="0"/>
          <w:smallCaps w:val="0"/>
          <w:noProof/>
          <w:sz w:val="22"/>
        </w:rPr>
      </w:pPr>
      <w:r w:rsidRPr="00DC3FAA">
        <w:rPr>
          <w:noProof/>
          <w:color w:val="000000"/>
        </w:rPr>
        <w:t>IV.1.4</w:t>
      </w:r>
      <w:r>
        <w:rPr>
          <w:rFonts w:asciiTheme="minorHAnsi" w:eastAsiaTheme="minorEastAsia" w:hAnsiTheme="minorHAnsi" w:cstheme="minorBidi"/>
          <w:i w:val="0"/>
          <w:smallCaps w:val="0"/>
          <w:noProof/>
          <w:sz w:val="22"/>
        </w:rPr>
        <w:tab/>
      </w:r>
      <w:r w:rsidRPr="00DC3FAA">
        <w:rPr>
          <w:noProof/>
        </w:rPr>
        <w:t>Sous-traitance</w:t>
      </w:r>
      <w:r>
        <w:rPr>
          <w:noProof/>
        </w:rPr>
        <w:tab/>
      </w:r>
      <w:r>
        <w:rPr>
          <w:noProof/>
        </w:rPr>
        <w:fldChar w:fldCharType="begin"/>
      </w:r>
      <w:r>
        <w:rPr>
          <w:noProof/>
        </w:rPr>
        <w:instrText xml:space="preserve"> PAGEREF _Toc202861571 \h </w:instrText>
      </w:r>
      <w:r>
        <w:rPr>
          <w:noProof/>
        </w:rPr>
      </w:r>
      <w:r>
        <w:rPr>
          <w:noProof/>
        </w:rPr>
        <w:fldChar w:fldCharType="separate"/>
      </w:r>
      <w:r>
        <w:rPr>
          <w:noProof/>
        </w:rPr>
        <w:t>17</w:t>
      </w:r>
      <w:r>
        <w:rPr>
          <w:noProof/>
        </w:rPr>
        <w:fldChar w:fldCharType="end"/>
      </w:r>
    </w:p>
    <w:p w:rsidR="00ED5BA5" w:rsidRDefault="00ED5BA5">
      <w:pPr>
        <w:pStyle w:val="TM2"/>
        <w:rPr>
          <w:rFonts w:asciiTheme="minorHAnsi" w:eastAsiaTheme="minorEastAsia" w:hAnsiTheme="minorHAnsi" w:cstheme="minorBidi"/>
          <w:smallCaps w:val="0"/>
          <w:noProof/>
          <w:sz w:val="22"/>
        </w:rPr>
      </w:pPr>
      <w:r w:rsidRPr="00DC3FAA">
        <w:rPr>
          <w:rFonts w:ascii="Arial" w:hAnsi="Arial"/>
          <w:noProof/>
        </w:rPr>
        <w:t>IV.2</w:t>
      </w:r>
      <w:r>
        <w:rPr>
          <w:rFonts w:asciiTheme="minorHAnsi" w:eastAsiaTheme="minorEastAsia" w:hAnsiTheme="minorHAnsi" w:cstheme="minorBidi"/>
          <w:smallCaps w:val="0"/>
          <w:noProof/>
          <w:sz w:val="22"/>
        </w:rPr>
        <w:tab/>
      </w:r>
      <w:r>
        <w:rPr>
          <w:noProof/>
        </w:rPr>
        <w:t>Dossier offre</w:t>
      </w:r>
      <w:r>
        <w:rPr>
          <w:noProof/>
        </w:rPr>
        <w:tab/>
      </w:r>
      <w:r>
        <w:rPr>
          <w:noProof/>
        </w:rPr>
        <w:fldChar w:fldCharType="begin"/>
      </w:r>
      <w:r>
        <w:rPr>
          <w:noProof/>
        </w:rPr>
        <w:instrText xml:space="preserve"> PAGEREF _Toc202861572 \h </w:instrText>
      </w:r>
      <w:r>
        <w:rPr>
          <w:noProof/>
        </w:rPr>
      </w:r>
      <w:r>
        <w:rPr>
          <w:noProof/>
        </w:rPr>
        <w:fldChar w:fldCharType="separate"/>
      </w:r>
      <w:r>
        <w:rPr>
          <w:noProof/>
        </w:rPr>
        <w:t>17</w:t>
      </w:r>
      <w:r>
        <w:rPr>
          <w:noProof/>
        </w:rPr>
        <w:fldChar w:fldCharType="end"/>
      </w:r>
    </w:p>
    <w:p w:rsidR="00ED5BA5" w:rsidRDefault="00ED5BA5">
      <w:pPr>
        <w:pStyle w:val="TM3"/>
        <w:rPr>
          <w:rFonts w:asciiTheme="minorHAnsi" w:eastAsiaTheme="minorEastAsia" w:hAnsiTheme="minorHAnsi" w:cstheme="minorBidi"/>
          <w:i w:val="0"/>
          <w:smallCaps w:val="0"/>
          <w:noProof/>
          <w:sz w:val="22"/>
        </w:rPr>
      </w:pPr>
      <w:r w:rsidRPr="00DC3FAA">
        <w:rPr>
          <w:noProof/>
          <w:color w:val="000000"/>
        </w:rPr>
        <w:t>IV.2.1</w:t>
      </w:r>
      <w:r>
        <w:rPr>
          <w:rFonts w:asciiTheme="minorHAnsi" w:eastAsiaTheme="minorEastAsia" w:hAnsiTheme="minorHAnsi" w:cstheme="minorBidi"/>
          <w:i w:val="0"/>
          <w:smallCaps w:val="0"/>
          <w:noProof/>
          <w:sz w:val="22"/>
        </w:rPr>
        <w:tab/>
      </w:r>
      <w:r w:rsidRPr="00DC3FAA">
        <w:rPr>
          <w:noProof/>
        </w:rPr>
        <w:t>Offre financière</w:t>
      </w:r>
      <w:r>
        <w:rPr>
          <w:noProof/>
        </w:rPr>
        <w:tab/>
      </w:r>
      <w:r>
        <w:rPr>
          <w:noProof/>
        </w:rPr>
        <w:fldChar w:fldCharType="begin"/>
      </w:r>
      <w:r>
        <w:rPr>
          <w:noProof/>
        </w:rPr>
        <w:instrText xml:space="preserve"> PAGEREF _Toc202861573 \h </w:instrText>
      </w:r>
      <w:r>
        <w:rPr>
          <w:noProof/>
        </w:rPr>
      </w:r>
      <w:r>
        <w:rPr>
          <w:noProof/>
        </w:rPr>
        <w:fldChar w:fldCharType="separate"/>
      </w:r>
      <w:r>
        <w:rPr>
          <w:noProof/>
        </w:rPr>
        <w:t>17</w:t>
      </w:r>
      <w:r>
        <w:rPr>
          <w:noProof/>
        </w:rPr>
        <w:fldChar w:fldCharType="end"/>
      </w:r>
    </w:p>
    <w:p w:rsidR="00ED5BA5" w:rsidRDefault="00ED5BA5">
      <w:pPr>
        <w:pStyle w:val="TM3"/>
        <w:rPr>
          <w:rFonts w:asciiTheme="minorHAnsi" w:eastAsiaTheme="minorEastAsia" w:hAnsiTheme="minorHAnsi" w:cstheme="minorBidi"/>
          <w:i w:val="0"/>
          <w:smallCaps w:val="0"/>
          <w:noProof/>
          <w:sz w:val="22"/>
        </w:rPr>
      </w:pPr>
      <w:r w:rsidRPr="00DC3FAA">
        <w:rPr>
          <w:noProof/>
          <w:color w:val="000000"/>
        </w:rPr>
        <w:t>IV.2.2</w:t>
      </w:r>
      <w:r>
        <w:rPr>
          <w:rFonts w:asciiTheme="minorHAnsi" w:eastAsiaTheme="minorEastAsia" w:hAnsiTheme="minorHAnsi" w:cstheme="minorBidi"/>
          <w:i w:val="0"/>
          <w:smallCaps w:val="0"/>
          <w:noProof/>
          <w:sz w:val="22"/>
        </w:rPr>
        <w:tab/>
      </w:r>
      <w:r w:rsidRPr="00DC3FAA">
        <w:rPr>
          <w:noProof/>
        </w:rPr>
        <w:t>Offre technique</w:t>
      </w:r>
      <w:r>
        <w:rPr>
          <w:noProof/>
        </w:rPr>
        <w:tab/>
      </w:r>
      <w:r>
        <w:rPr>
          <w:noProof/>
        </w:rPr>
        <w:fldChar w:fldCharType="begin"/>
      </w:r>
      <w:r>
        <w:rPr>
          <w:noProof/>
        </w:rPr>
        <w:instrText xml:space="preserve"> PAGEREF _Toc202861574 \h </w:instrText>
      </w:r>
      <w:r>
        <w:rPr>
          <w:noProof/>
        </w:rPr>
      </w:r>
      <w:r>
        <w:rPr>
          <w:noProof/>
        </w:rPr>
        <w:fldChar w:fldCharType="separate"/>
      </w:r>
      <w:r>
        <w:rPr>
          <w:noProof/>
        </w:rPr>
        <w:t>17</w:t>
      </w:r>
      <w:r>
        <w:rPr>
          <w:noProof/>
        </w:rPr>
        <w:fldChar w:fldCharType="end"/>
      </w:r>
    </w:p>
    <w:p w:rsidR="00ED5BA5" w:rsidRDefault="00ED5BA5">
      <w:pPr>
        <w:pStyle w:val="TM3"/>
        <w:rPr>
          <w:rFonts w:asciiTheme="minorHAnsi" w:eastAsiaTheme="minorEastAsia" w:hAnsiTheme="minorHAnsi" w:cstheme="minorBidi"/>
          <w:i w:val="0"/>
          <w:smallCaps w:val="0"/>
          <w:noProof/>
          <w:sz w:val="22"/>
        </w:rPr>
      </w:pPr>
      <w:r w:rsidRPr="00DC3FAA">
        <w:rPr>
          <w:noProof/>
          <w:color w:val="000000"/>
        </w:rPr>
        <w:t>IV.2.3</w:t>
      </w:r>
      <w:r>
        <w:rPr>
          <w:rFonts w:asciiTheme="minorHAnsi" w:eastAsiaTheme="minorEastAsia" w:hAnsiTheme="minorHAnsi" w:cstheme="minorBidi"/>
          <w:i w:val="0"/>
          <w:smallCaps w:val="0"/>
          <w:noProof/>
          <w:sz w:val="22"/>
        </w:rPr>
        <w:tab/>
      </w:r>
      <w:r w:rsidRPr="00DC3FAA">
        <w:rPr>
          <w:noProof/>
        </w:rPr>
        <w:t>Déclaration de sous-traitance concomitante au dépôt de l’offre</w:t>
      </w:r>
      <w:r>
        <w:rPr>
          <w:noProof/>
        </w:rPr>
        <w:tab/>
      </w:r>
      <w:r>
        <w:rPr>
          <w:noProof/>
        </w:rPr>
        <w:fldChar w:fldCharType="begin"/>
      </w:r>
      <w:r>
        <w:rPr>
          <w:noProof/>
        </w:rPr>
        <w:instrText xml:space="preserve"> PAGEREF _Toc202861575 \h </w:instrText>
      </w:r>
      <w:r>
        <w:rPr>
          <w:noProof/>
        </w:rPr>
      </w:r>
      <w:r>
        <w:rPr>
          <w:noProof/>
        </w:rPr>
        <w:fldChar w:fldCharType="separate"/>
      </w:r>
      <w:r>
        <w:rPr>
          <w:noProof/>
        </w:rPr>
        <w:t>18</w:t>
      </w:r>
      <w:r>
        <w:rPr>
          <w:noProof/>
        </w:rPr>
        <w:fldChar w:fldCharType="end"/>
      </w:r>
    </w:p>
    <w:p w:rsidR="00ED5BA5" w:rsidRDefault="00ED5BA5">
      <w:pPr>
        <w:pStyle w:val="TM1"/>
        <w:rPr>
          <w:rFonts w:asciiTheme="minorHAnsi" w:eastAsiaTheme="minorEastAsia" w:hAnsiTheme="minorHAnsi" w:cstheme="minorBidi"/>
          <w:smallCaps w:val="0"/>
          <w:noProof/>
          <w:sz w:val="22"/>
          <w:szCs w:val="22"/>
        </w:rPr>
      </w:pPr>
      <w:r w:rsidRPr="00DC3FAA">
        <w:rPr>
          <w:rFonts w:ascii="Arial Gras" w:hAnsi="Arial Gras"/>
          <w:noProof/>
          <w:color w:val="000000"/>
        </w:rPr>
        <w:t>Article V.</w:t>
      </w:r>
      <w:r>
        <w:rPr>
          <w:noProof/>
        </w:rPr>
        <w:t xml:space="preserve"> Selection des candidatures et des offres</w:t>
      </w:r>
      <w:r>
        <w:rPr>
          <w:noProof/>
        </w:rPr>
        <w:tab/>
      </w:r>
      <w:r>
        <w:rPr>
          <w:noProof/>
        </w:rPr>
        <w:fldChar w:fldCharType="begin"/>
      </w:r>
      <w:r>
        <w:rPr>
          <w:noProof/>
        </w:rPr>
        <w:instrText xml:space="preserve"> PAGEREF _Toc202861576 \h </w:instrText>
      </w:r>
      <w:r>
        <w:rPr>
          <w:noProof/>
        </w:rPr>
      </w:r>
      <w:r>
        <w:rPr>
          <w:noProof/>
        </w:rPr>
        <w:fldChar w:fldCharType="separate"/>
      </w:r>
      <w:r>
        <w:rPr>
          <w:noProof/>
        </w:rPr>
        <w:t>19</w:t>
      </w:r>
      <w:r>
        <w:rPr>
          <w:noProof/>
        </w:rPr>
        <w:fldChar w:fldCharType="end"/>
      </w:r>
    </w:p>
    <w:p w:rsidR="00ED5BA5" w:rsidRDefault="00ED5BA5">
      <w:pPr>
        <w:pStyle w:val="TM2"/>
        <w:rPr>
          <w:rFonts w:asciiTheme="minorHAnsi" w:eastAsiaTheme="minorEastAsia" w:hAnsiTheme="minorHAnsi" w:cstheme="minorBidi"/>
          <w:smallCaps w:val="0"/>
          <w:noProof/>
          <w:sz w:val="22"/>
        </w:rPr>
      </w:pPr>
      <w:r w:rsidRPr="00DC3FAA">
        <w:rPr>
          <w:rFonts w:ascii="Arial" w:hAnsi="Arial"/>
          <w:noProof/>
        </w:rPr>
        <w:t>V.1</w:t>
      </w:r>
      <w:r>
        <w:rPr>
          <w:rFonts w:asciiTheme="minorHAnsi" w:eastAsiaTheme="minorEastAsia" w:hAnsiTheme="minorHAnsi" w:cstheme="minorBidi"/>
          <w:smallCaps w:val="0"/>
          <w:noProof/>
          <w:sz w:val="22"/>
        </w:rPr>
        <w:tab/>
      </w:r>
      <w:r>
        <w:rPr>
          <w:noProof/>
        </w:rPr>
        <w:t>Examen des candidatures</w:t>
      </w:r>
      <w:r>
        <w:rPr>
          <w:noProof/>
        </w:rPr>
        <w:tab/>
      </w:r>
      <w:r>
        <w:rPr>
          <w:noProof/>
        </w:rPr>
        <w:fldChar w:fldCharType="begin"/>
      </w:r>
      <w:r>
        <w:rPr>
          <w:noProof/>
        </w:rPr>
        <w:instrText xml:space="preserve"> PAGEREF _Toc202861577 \h </w:instrText>
      </w:r>
      <w:r>
        <w:rPr>
          <w:noProof/>
        </w:rPr>
      </w:r>
      <w:r>
        <w:rPr>
          <w:noProof/>
        </w:rPr>
        <w:fldChar w:fldCharType="separate"/>
      </w:r>
      <w:r>
        <w:rPr>
          <w:noProof/>
        </w:rPr>
        <w:t>19</w:t>
      </w:r>
      <w:r>
        <w:rPr>
          <w:noProof/>
        </w:rPr>
        <w:fldChar w:fldCharType="end"/>
      </w:r>
    </w:p>
    <w:p w:rsidR="00ED5BA5" w:rsidRDefault="00ED5BA5">
      <w:pPr>
        <w:pStyle w:val="TM2"/>
        <w:rPr>
          <w:rFonts w:asciiTheme="minorHAnsi" w:eastAsiaTheme="minorEastAsia" w:hAnsiTheme="minorHAnsi" w:cstheme="minorBidi"/>
          <w:smallCaps w:val="0"/>
          <w:noProof/>
          <w:sz w:val="22"/>
        </w:rPr>
      </w:pPr>
      <w:r w:rsidRPr="00DC3FAA">
        <w:rPr>
          <w:rFonts w:ascii="Arial" w:hAnsi="Arial"/>
          <w:noProof/>
        </w:rPr>
        <w:t>V.2</w:t>
      </w:r>
      <w:r>
        <w:rPr>
          <w:rFonts w:asciiTheme="minorHAnsi" w:eastAsiaTheme="minorEastAsia" w:hAnsiTheme="minorHAnsi" w:cstheme="minorBidi"/>
          <w:smallCaps w:val="0"/>
          <w:noProof/>
          <w:sz w:val="22"/>
        </w:rPr>
        <w:tab/>
      </w:r>
      <w:r>
        <w:rPr>
          <w:noProof/>
        </w:rPr>
        <w:t>Analyse des offres</w:t>
      </w:r>
      <w:r>
        <w:rPr>
          <w:noProof/>
        </w:rPr>
        <w:tab/>
      </w:r>
      <w:r>
        <w:rPr>
          <w:noProof/>
        </w:rPr>
        <w:fldChar w:fldCharType="begin"/>
      </w:r>
      <w:r>
        <w:rPr>
          <w:noProof/>
        </w:rPr>
        <w:instrText xml:space="preserve"> PAGEREF _Toc202861578 \h </w:instrText>
      </w:r>
      <w:r>
        <w:rPr>
          <w:noProof/>
        </w:rPr>
      </w:r>
      <w:r>
        <w:rPr>
          <w:noProof/>
        </w:rPr>
        <w:fldChar w:fldCharType="separate"/>
      </w:r>
      <w:r>
        <w:rPr>
          <w:noProof/>
        </w:rPr>
        <w:t>19</w:t>
      </w:r>
      <w:r>
        <w:rPr>
          <w:noProof/>
        </w:rPr>
        <w:fldChar w:fldCharType="end"/>
      </w:r>
    </w:p>
    <w:p w:rsidR="00ED5BA5" w:rsidRDefault="00ED5BA5">
      <w:pPr>
        <w:pStyle w:val="TM3"/>
        <w:rPr>
          <w:rFonts w:asciiTheme="minorHAnsi" w:eastAsiaTheme="minorEastAsia" w:hAnsiTheme="minorHAnsi" w:cstheme="minorBidi"/>
          <w:i w:val="0"/>
          <w:smallCaps w:val="0"/>
          <w:noProof/>
          <w:sz w:val="22"/>
        </w:rPr>
      </w:pPr>
      <w:r w:rsidRPr="00DC3FAA">
        <w:rPr>
          <w:noProof/>
          <w:color w:val="000000"/>
        </w:rPr>
        <w:t>V.2.1</w:t>
      </w:r>
      <w:r>
        <w:rPr>
          <w:rFonts w:asciiTheme="minorHAnsi" w:eastAsiaTheme="minorEastAsia" w:hAnsiTheme="minorHAnsi" w:cstheme="minorBidi"/>
          <w:i w:val="0"/>
          <w:smallCaps w:val="0"/>
          <w:noProof/>
          <w:sz w:val="22"/>
        </w:rPr>
        <w:tab/>
      </w:r>
      <w:r w:rsidRPr="00DC3FAA">
        <w:rPr>
          <w:noProof/>
        </w:rPr>
        <w:t>Critères de jugement des offres</w:t>
      </w:r>
      <w:r>
        <w:rPr>
          <w:noProof/>
        </w:rPr>
        <w:tab/>
      </w:r>
      <w:r>
        <w:rPr>
          <w:noProof/>
        </w:rPr>
        <w:fldChar w:fldCharType="begin"/>
      </w:r>
      <w:r>
        <w:rPr>
          <w:noProof/>
        </w:rPr>
        <w:instrText xml:space="preserve"> PAGEREF _Toc202861579 \h </w:instrText>
      </w:r>
      <w:r>
        <w:rPr>
          <w:noProof/>
        </w:rPr>
      </w:r>
      <w:r>
        <w:rPr>
          <w:noProof/>
        </w:rPr>
        <w:fldChar w:fldCharType="separate"/>
      </w:r>
      <w:r>
        <w:rPr>
          <w:noProof/>
        </w:rPr>
        <w:t>19</w:t>
      </w:r>
      <w:r>
        <w:rPr>
          <w:noProof/>
        </w:rPr>
        <w:fldChar w:fldCharType="end"/>
      </w:r>
    </w:p>
    <w:p w:rsidR="00ED5BA5" w:rsidRDefault="00ED5BA5">
      <w:pPr>
        <w:pStyle w:val="TM3"/>
        <w:rPr>
          <w:rFonts w:asciiTheme="minorHAnsi" w:eastAsiaTheme="minorEastAsia" w:hAnsiTheme="minorHAnsi" w:cstheme="minorBidi"/>
          <w:i w:val="0"/>
          <w:smallCaps w:val="0"/>
          <w:noProof/>
          <w:sz w:val="22"/>
        </w:rPr>
      </w:pPr>
      <w:r w:rsidRPr="00DC3FAA">
        <w:rPr>
          <w:noProof/>
          <w:color w:val="000000"/>
        </w:rPr>
        <w:t>V.2.2</w:t>
      </w:r>
      <w:r>
        <w:rPr>
          <w:rFonts w:asciiTheme="minorHAnsi" w:eastAsiaTheme="minorEastAsia" w:hAnsiTheme="minorHAnsi" w:cstheme="minorBidi"/>
          <w:i w:val="0"/>
          <w:smallCaps w:val="0"/>
          <w:noProof/>
          <w:sz w:val="22"/>
        </w:rPr>
        <w:tab/>
      </w:r>
      <w:r w:rsidRPr="00DC3FAA">
        <w:rPr>
          <w:noProof/>
        </w:rPr>
        <w:t>Cadre d’analyse</w:t>
      </w:r>
      <w:r>
        <w:rPr>
          <w:noProof/>
        </w:rPr>
        <w:tab/>
      </w:r>
      <w:r>
        <w:rPr>
          <w:noProof/>
        </w:rPr>
        <w:fldChar w:fldCharType="begin"/>
      </w:r>
      <w:r>
        <w:rPr>
          <w:noProof/>
        </w:rPr>
        <w:instrText xml:space="preserve"> PAGEREF _Toc202861580 \h </w:instrText>
      </w:r>
      <w:r>
        <w:rPr>
          <w:noProof/>
        </w:rPr>
      </w:r>
      <w:r>
        <w:rPr>
          <w:noProof/>
        </w:rPr>
        <w:fldChar w:fldCharType="separate"/>
      </w:r>
      <w:r>
        <w:rPr>
          <w:noProof/>
        </w:rPr>
        <w:t>20</w:t>
      </w:r>
      <w:r>
        <w:rPr>
          <w:noProof/>
        </w:rPr>
        <w:fldChar w:fldCharType="end"/>
      </w:r>
    </w:p>
    <w:p w:rsidR="00ED5BA5" w:rsidRDefault="00ED5BA5">
      <w:pPr>
        <w:pStyle w:val="TM3"/>
        <w:rPr>
          <w:rFonts w:asciiTheme="minorHAnsi" w:eastAsiaTheme="minorEastAsia" w:hAnsiTheme="minorHAnsi" w:cstheme="minorBidi"/>
          <w:i w:val="0"/>
          <w:smallCaps w:val="0"/>
          <w:noProof/>
          <w:sz w:val="22"/>
        </w:rPr>
      </w:pPr>
      <w:r w:rsidRPr="00DC3FAA">
        <w:rPr>
          <w:noProof/>
          <w:color w:val="000000"/>
        </w:rPr>
        <w:t>V.2.3</w:t>
      </w:r>
      <w:r>
        <w:rPr>
          <w:rFonts w:asciiTheme="minorHAnsi" w:eastAsiaTheme="minorEastAsia" w:hAnsiTheme="minorHAnsi" w:cstheme="minorBidi"/>
          <w:i w:val="0"/>
          <w:smallCaps w:val="0"/>
          <w:noProof/>
          <w:sz w:val="22"/>
        </w:rPr>
        <w:tab/>
      </w:r>
      <w:r w:rsidRPr="00DC3FAA">
        <w:rPr>
          <w:noProof/>
        </w:rPr>
        <w:t>Demande de précisions sur la teneur des offres et examen de leur recevabilité</w:t>
      </w:r>
      <w:r>
        <w:rPr>
          <w:noProof/>
        </w:rPr>
        <w:tab/>
      </w:r>
      <w:r>
        <w:rPr>
          <w:noProof/>
        </w:rPr>
        <w:fldChar w:fldCharType="begin"/>
      </w:r>
      <w:r>
        <w:rPr>
          <w:noProof/>
        </w:rPr>
        <w:instrText xml:space="preserve"> PAGEREF _Toc202861581 \h </w:instrText>
      </w:r>
      <w:r>
        <w:rPr>
          <w:noProof/>
        </w:rPr>
      </w:r>
      <w:r>
        <w:rPr>
          <w:noProof/>
        </w:rPr>
        <w:fldChar w:fldCharType="separate"/>
      </w:r>
      <w:r>
        <w:rPr>
          <w:noProof/>
        </w:rPr>
        <w:t>20</w:t>
      </w:r>
      <w:r>
        <w:rPr>
          <w:noProof/>
        </w:rPr>
        <w:fldChar w:fldCharType="end"/>
      </w:r>
    </w:p>
    <w:p w:rsidR="00ED5BA5" w:rsidRDefault="00ED5BA5">
      <w:pPr>
        <w:pStyle w:val="TM3"/>
        <w:rPr>
          <w:rFonts w:asciiTheme="minorHAnsi" w:eastAsiaTheme="minorEastAsia" w:hAnsiTheme="minorHAnsi" w:cstheme="minorBidi"/>
          <w:i w:val="0"/>
          <w:smallCaps w:val="0"/>
          <w:noProof/>
          <w:sz w:val="22"/>
        </w:rPr>
      </w:pPr>
      <w:r w:rsidRPr="00DC3FAA">
        <w:rPr>
          <w:noProof/>
          <w:color w:val="000000"/>
        </w:rPr>
        <w:t>V.3.1</w:t>
      </w:r>
      <w:r>
        <w:rPr>
          <w:rFonts w:asciiTheme="minorHAnsi" w:eastAsiaTheme="minorEastAsia" w:hAnsiTheme="minorHAnsi" w:cstheme="minorBidi"/>
          <w:i w:val="0"/>
          <w:smallCaps w:val="0"/>
          <w:noProof/>
          <w:sz w:val="22"/>
        </w:rPr>
        <w:tab/>
      </w:r>
      <w:r w:rsidRPr="00DC3FAA">
        <w:rPr>
          <w:noProof/>
        </w:rPr>
        <w:t>Précision liminaire</w:t>
      </w:r>
      <w:r>
        <w:rPr>
          <w:noProof/>
        </w:rPr>
        <w:tab/>
      </w:r>
      <w:r>
        <w:rPr>
          <w:noProof/>
        </w:rPr>
        <w:fldChar w:fldCharType="begin"/>
      </w:r>
      <w:r>
        <w:rPr>
          <w:noProof/>
        </w:rPr>
        <w:instrText xml:space="preserve"> PAGEREF _Toc202861582 \h </w:instrText>
      </w:r>
      <w:r>
        <w:rPr>
          <w:noProof/>
        </w:rPr>
      </w:r>
      <w:r>
        <w:rPr>
          <w:noProof/>
        </w:rPr>
        <w:fldChar w:fldCharType="separate"/>
      </w:r>
      <w:r>
        <w:rPr>
          <w:noProof/>
        </w:rPr>
        <w:t>21</w:t>
      </w:r>
      <w:r>
        <w:rPr>
          <w:noProof/>
        </w:rPr>
        <w:fldChar w:fldCharType="end"/>
      </w:r>
    </w:p>
    <w:p w:rsidR="00ED5BA5" w:rsidRDefault="00ED5BA5">
      <w:pPr>
        <w:pStyle w:val="TM3"/>
        <w:rPr>
          <w:rFonts w:asciiTheme="minorHAnsi" w:eastAsiaTheme="minorEastAsia" w:hAnsiTheme="minorHAnsi" w:cstheme="minorBidi"/>
          <w:i w:val="0"/>
          <w:smallCaps w:val="0"/>
          <w:noProof/>
          <w:sz w:val="22"/>
        </w:rPr>
      </w:pPr>
      <w:r w:rsidRPr="00DC3FAA">
        <w:rPr>
          <w:noProof/>
          <w:color w:val="000000"/>
        </w:rPr>
        <w:t>V.3.2</w:t>
      </w:r>
      <w:r>
        <w:rPr>
          <w:rFonts w:asciiTheme="minorHAnsi" w:eastAsiaTheme="minorEastAsia" w:hAnsiTheme="minorHAnsi" w:cstheme="minorBidi"/>
          <w:i w:val="0"/>
          <w:smallCaps w:val="0"/>
          <w:noProof/>
          <w:sz w:val="22"/>
        </w:rPr>
        <w:tab/>
      </w:r>
      <w:r w:rsidRPr="00DC3FAA">
        <w:rPr>
          <w:noProof/>
        </w:rPr>
        <w:t>Phase 1 : dépôt et examen des offres initiales</w:t>
      </w:r>
      <w:r>
        <w:rPr>
          <w:noProof/>
        </w:rPr>
        <w:tab/>
      </w:r>
      <w:r>
        <w:rPr>
          <w:noProof/>
        </w:rPr>
        <w:fldChar w:fldCharType="begin"/>
      </w:r>
      <w:r>
        <w:rPr>
          <w:noProof/>
        </w:rPr>
        <w:instrText xml:space="preserve"> PAGEREF _Toc202861583 \h </w:instrText>
      </w:r>
      <w:r>
        <w:rPr>
          <w:noProof/>
        </w:rPr>
      </w:r>
      <w:r>
        <w:rPr>
          <w:noProof/>
        </w:rPr>
        <w:fldChar w:fldCharType="separate"/>
      </w:r>
      <w:r>
        <w:rPr>
          <w:noProof/>
        </w:rPr>
        <w:t>21</w:t>
      </w:r>
      <w:r>
        <w:rPr>
          <w:noProof/>
        </w:rPr>
        <w:fldChar w:fldCharType="end"/>
      </w:r>
    </w:p>
    <w:p w:rsidR="00ED5BA5" w:rsidRDefault="00ED5BA5">
      <w:pPr>
        <w:pStyle w:val="TM3"/>
        <w:rPr>
          <w:rFonts w:asciiTheme="minorHAnsi" w:eastAsiaTheme="minorEastAsia" w:hAnsiTheme="minorHAnsi" w:cstheme="minorBidi"/>
          <w:i w:val="0"/>
          <w:smallCaps w:val="0"/>
          <w:noProof/>
          <w:sz w:val="22"/>
        </w:rPr>
      </w:pPr>
      <w:r w:rsidRPr="00DC3FAA">
        <w:rPr>
          <w:noProof/>
          <w:color w:val="000000"/>
        </w:rPr>
        <w:t>V.3.3</w:t>
      </w:r>
      <w:r>
        <w:rPr>
          <w:rFonts w:asciiTheme="minorHAnsi" w:eastAsiaTheme="minorEastAsia" w:hAnsiTheme="minorHAnsi" w:cstheme="minorBidi"/>
          <w:i w:val="0"/>
          <w:smallCaps w:val="0"/>
          <w:noProof/>
          <w:sz w:val="22"/>
        </w:rPr>
        <w:tab/>
      </w:r>
      <w:r w:rsidRPr="00DC3FAA">
        <w:rPr>
          <w:noProof/>
        </w:rPr>
        <w:t>Phase 2 : négociations</w:t>
      </w:r>
      <w:r>
        <w:rPr>
          <w:noProof/>
        </w:rPr>
        <w:tab/>
      </w:r>
      <w:r>
        <w:rPr>
          <w:noProof/>
        </w:rPr>
        <w:fldChar w:fldCharType="begin"/>
      </w:r>
      <w:r>
        <w:rPr>
          <w:noProof/>
        </w:rPr>
        <w:instrText xml:space="preserve"> PAGEREF _Toc202861584 \h </w:instrText>
      </w:r>
      <w:r>
        <w:rPr>
          <w:noProof/>
        </w:rPr>
      </w:r>
      <w:r>
        <w:rPr>
          <w:noProof/>
        </w:rPr>
        <w:fldChar w:fldCharType="separate"/>
      </w:r>
      <w:r>
        <w:rPr>
          <w:noProof/>
        </w:rPr>
        <w:t>21</w:t>
      </w:r>
      <w:r>
        <w:rPr>
          <w:noProof/>
        </w:rPr>
        <w:fldChar w:fldCharType="end"/>
      </w:r>
    </w:p>
    <w:p w:rsidR="00ED5BA5" w:rsidRDefault="00ED5BA5">
      <w:pPr>
        <w:pStyle w:val="TM2"/>
        <w:rPr>
          <w:rFonts w:asciiTheme="minorHAnsi" w:eastAsiaTheme="minorEastAsia" w:hAnsiTheme="minorHAnsi" w:cstheme="minorBidi"/>
          <w:smallCaps w:val="0"/>
          <w:noProof/>
          <w:sz w:val="22"/>
        </w:rPr>
      </w:pPr>
      <w:r w:rsidRPr="00DC3FAA">
        <w:rPr>
          <w:rFonts w:ascii="Arial" w:hAnsi="Arial"/>
          <w:noProof/>
        </w:rPr>
        <w:lastRenderedPageBreak/>
        <w:t>V.4</w:t>
      </w:r>
      <w:r>
        <w:rPr>
          <w:rFonts w:asciiTheme="minorHAnsi" w:eastAsiaTheme="minorEastAsia" w:hAnsiTheme="minorHAnsi" w:cstheme="minorBidi"/>
          <w:smallCaps w:val="0"/>
          <w:noProof/>
          <w:sz w:val="22"/>
        </w:rPr>
        <w:tab/>
      </w:r>
      <w:r>
        <w:rPr>
          <w:noProof/>
        </w:rPr>
        <w:t>Achèvement de la consultation</w:t>
      </w:r>
      <w:r>
        <w:rPr>
          <w:noProof/>
        </w:rPr>
        <w:tab/>
      </w:r>
      <w:r>
        <w:rPr>
          <w:noProof/>
        </w:rPr>
        <w:fldChar w:fldCharType="begin"/>
      </w:r>
      <w:r>
        <w:rPr>
          <w:noProof/>
        </w:rPr>
        <w:instrText xml:space="preserve"> PAGEREF _Toc202861585 \h </w:instrText>
      </w:r>
      <w:r>
        <w:rPr>
          <w:noProof/>
        </w:rPr>
      </w:r>
      <w:r>
        <w:rPr>
          <w:noProof/>
        </w:rPr>
        <w:fldChar w:fldCharType="separate"/>
      </w:r>
      <w:r>
        <w:rPr>
          <w:noProof/>
        </w:rPr>
        <w:t>22</w:t>
      </w:r>
      <w:r>
        <w:rPr>
          <w:noProof/>
        </w:rPr>
        <w:fldChar w:fldCharType="end"/>
      </w:r>
    </w:p>
    <w:p w:rsidR="00ED5BA5" w:rsidRDefault="00ED5BA5">
      <w:pPr>
        <w:pStyle w:val="TM3"/>
        <w:rPr>
          <w:rFonts w:asciiTheme="minorHAnsi" w:eastAsiaTheme="minorEastAsia" w:hAnsiTheme="minorHAnsi" w:cstheme="minorBidi"/>
          <w:i w:val="0"/>
          <w:smallCaps w:val="0"/>
          <w:noProof/>
          <w:sz w:val="22"/>
        </w:rPr>
      </w:pPr>
      <w:r w:rsidRPr="00DC3FAA">
        <w:rPr>
          <w:noProof/>
          <w:color w:val="000000"/>
        </w:rPr>
        <w:t>V.4.1</w:t>
      </w:r>
      <w:r>
        <w:rPr>
          <w:rFonts w:asciiTheme="minorHAnsi" w:eastAsiaTheme="minorEastAsia" w:hAnsiTheme="minorHAnsi" w:cstheme="minorBidi"/>
          <w:i w:val="0"/>
          <w:smallCaps w:val="0"/>
          <w:noProof/>
          <w:sz w:val="22"/>
        </w:rPr>
        <w:tab/>
      </w:r>
      <w:r w:rsidRPr="00DC3FAA">
        <w:rPr>
          <w:noProof/>
        </w:rPr>
        <w:t>Attribution de l’accord-cadre</w:t>
      </w:r>
      <w:r>
        <w:rPr>
          <w:noProof/>
        </w:rPr>
        <w:tab/>
      </w:r>
      <w:r>
        <w:rPr>
          <w:noProof/>
        </w:rPr>
        <w:fldChar w:fldCharType="begin"/>
      </w:r>
      <w:r>
        <w:rPr>
          <w:noProof/>
        </w:rPr>
        <w:instrText xml:space="preserve"> PAGEREF _Toc202861586 \h </w:instrText>
      </w:r>
      <w:r>
        <w:rPr>
          <w:noProof/>
        </w:rPr>
      </w:r>
      <w:r>
        <w:rPr>
          <w:noProof/>
        </w:rPr>
        <w:fldChar w:fldCharType="separate"/>
      </w:r>
      <w:r>
        <w:rPr>
          <w:noProof/>
        </w:rPr>
        <w:t>22</w:t>
      </w:r>
      <w:r>
        <w:rPr>
          <w:noProof/>
        </w:rPr>
        <w:fldChar w:fldCharType="end"/>
      </w:r>
    </w:p>
    <w:p w:rsidR="00ED5BA5" w:rsidRDefault="00ED5BA5">
      <w:pPr>
        <w:pStyle w:val="TM3"/>
        <w:rPr>
          <w:rFonts w:asciiTheme="minorHAnsi" w:eastAsiaTheme="minorEastAsia" w:hAnsiTheme="minorHAnsi" w:cstheme="minorBidi"/>
          <w:i w:val="0"/>
          <w:smallCaps w:val="0"/>
          <w:noProof/>
          <w:sz w:val="22"/>
        </w:rPr>
      </w:pPr>
      <w:r w:rsidRPr="00DC3FAA">
        <w:rPr>
          <w:noProof/>
          <w:color w:val="000000"/>
        </w:rPr>
        <w:t>V.4.2</w:t>
      </w:r>
      <w:r>
        <w:rPr>
          <w:rFonts w:asciiTheme="minorHAnsi" w:eastAsiaTheme="minorEastAsia" w:hAnsiTheme="minorHAnsi" w:cstheme="minorBidi"/>
          <w:i w:val="0"/>
          <w:smallCaps w:val="0"/>
          <w:noProof/>
          <w:sz w:val="22"/>
        </w:rPr>
        <w:tab/>
      </w:r>
      <w:r w:rsidRPr="00DC3FAA">
        <w:rPr>
          <w:noProof/>
        </w:rPr>
        <w:t>Vérification des motifs d’exclusion et contradictoire</w:t>
      </w:r>
      <w:r>
        <w:rPr>
          <w:noProof/>
        </w:rPr>
        <w:tab/>
      </w:r>
      <w:r>
        <w:rPr>
          <w:noProof/>
        </w:rPr>
        <w:fldChar w:fldCharType="begin"/>
      </w:r>
      <w:r>
        <w:rPr>
          <w:noProof/>
        </w:rPr>
        <w:instrText xml:space="preserve"> PAGEREF _Toc202861587 \h </w:instrText>
      </w:r>
      <w:r>
        <w:rPr>
          <w:noProof/>
        </w:rPr>
      </w:r>
      <w:r>
        <w:rPr>
          <w:noProof/>
        </w:rPr>
        <w:fldChar w:fldCharType="separate"/>
      </w:r>
      <w:r>
        <w:rPr>
          <w:noProof/>
        </w:rPr>
        <w:t>25</w:t>
      </w:r>
      <w:r>
        <w:rPr>
          <w:noProof/>
        </w:rPr>
        <w:fldChar w:fldCharType="end"/>
      </w:r>
    </w:p>
    <w:p w:rsidR="00ED5BA5" w:rsidRDefault="00ED5BA5">
      <w:pPr>
        <w:pStyle w:val="TM3"/>
        <w:rPr>
          <w:rFonts w:asciiTheme="minorHAnsi" w:eastAsiaTheme="minorEastAsia" w:hAnsiTheme="minorHAnsi" w:cstheme="minorBidi"/>
          <w:i w:val="0"/>
          <w:smallCaps w:val="0"/>
          <w:noProof/>
          <w:sz w:val="22"/>
        </w:rPr>
      </w:pPr>
      <w:r w:rsidRPr="00DC3FAA">
        <w:rPr>
          <w:noProof/>
          <w:color w:val="000000"/>
        </w:rPr>
        <w:t>V.4.3</w:t>
      </w:r>
      <w:r>
        <w:rPr>
          <w:rFonts w:asciiTheme="minorHAnsi" w:eastAsiaTheme="minorEastAsia" w:hAnsiTheme="minorHAnsi" w:cstheme="minorBidi"/>
          <w:i w:val="0"/>
          <w:smallCaps w:val="0"/>
          <w:noProof/>
          <w:sz w:val="22"/>
        </w:rPr>
        <w:tab/>
      </w:r>
      <w:r w:rsidRPr="00DC3FAA">
        <w:rPr>
          <w:noProof/>
        </w:rPr>
        <w:t>Mise au point des composantes de l’accord-cadre</w:t>
      </w:r>
      <w:r>
        <w:rPr>
          <w:noProof/>
        </w:rPr>
        <w:tab/>
      </w:r>
      <w:r>
        <w:rPr>
          <w:noProof/>
        </w:rPr>
        <w:fldChar w:fldCharType="begin"/>
      </w:r>
      <w:r>
        <w:rPr>
          <w:noProof/>
        </w:rPr>
        <w:instrText xml:space="preserve"> PAGEREF _Toc202861588 \h </w:instrText>
      </w:r>
      <w:r>
        <w:rPr>
          <w:noProof/>
        </w:rPr>
      </w:r>
      <w:r>
        <w:rPr>
          <w:noProof/>
        </w:rPr>
        <w:fldChar w:fldCharType="separate"/>
      </w:r>
      <w:r>
        <w:rPr>
          <w:noProof/>
        </w:rPr>
        <w:t>25</w:t>
      </w:r>
      <w:r>
        <w:rPr>
          <w:noProof/>
        </w:rPr>
        <w:fldChar w:fldCharType="end"/>
      </w:r>
    </w:p>
    <w:p w:rsidR="00ED5BA5" w:rsidRDefault="00ED5BA5">
      <w:pPr>
        <w:pStyle w:val="TM3"/>
        <w:rPr>
          <w:rFonts w:asciiTheme="minorHAnsi" w:eastAsiaTheme="minorEastAsia" w:hAnsiTheme="minorHAnsi" w:cstheme="minorBidi"/>
          <w:i w:val="0"/>
          <w:smallCaps w:val="0"/>
          <w:noProof/>
          <w:sz w:val="22"/>
        </w:rPr>
      </w:pPr>
      <w:r w:rsidRPr="00DC3FAA">
        <w:rPr>
          <w:noProof/>
          <w:color w:val="000000"/>
        </w:rPr>
        <w:t>V.4.4</w:t>
      </w:r>
      <w:r>
        <w:rPr>
          <w:rFonts w:asciiTheme="minorHAnsi" w:eastAsiaTheme="minorEastAsia" w:hAnsiTheme="minorHAnsi" w:cstheme="minorBidi"/>
          <w:i w:val="0"/>
          <w:smallCaps w:val="0"/>
          <w:noProof/>
          <w:sz w:val="22"/>
        </w:rPr>
        <w:tab/>
      </w:r>
      <w:r w:rsidRPr="00DC3FAA">
        <w:rPr>
          <w:noProof/>
        </w:rPr>
        <w:t>Candidatures et offres non retenues</w:t>
      </w:r>
      <w:r>
        <w:rPr>
          <w:noProof/>
        </w:rPr>
        <w:tab/>
      </w:r>
      <w:r>
        <w:rPr>
          <w:noProof/>
        </w:rPr>
        <w:fldChar w:fldCharType="begin"/>
      </w:r>
      <w:r>
        <w:rPr>
          <w:noProof/>
        </w:rPr>
        <w:instrText xml:space="preserve"> PAGEREF _Toc202861589 \h </w:instrText>
      </w:r>
      <w:r>
        <w:rPr>
          <w:noProof/>
        </w:rPr>
      </w:r>
      <w:r>
        <w:rPr>
          <w:noProof/>
        </w:rPr>
        <w:fldChar w:fldCharType="separate"/>
      </w:r>
      <w:r>
        <w:rPr>
          <w:noProof/>
        </w:rPr>
        <w:t>25</w:t>
      </w:r>
      <w:r>
        <w:rPr>
          <w:noProof/>
        </w:rPr>
        <w:fldChar w:fldCharType="end"/>
      </w:r>
    </w:p>
    <w:p w:rsidR="00ED5BA5" w:rsidRDefault="00ED5BA5">
      <w:pPr>
        <w:pStyle w:val="TM3"/>
        <w:rPr>
          <w:rFonts w:asciiTheme="minorHAnsi" w:eastAsiaTheme="minorEastAsia" w:hAnsiTheme="minorHAnsi" w:cstheme="minorBidi"/>
          <w:i w:val="0"/>
          <w:smallCaps w:val="0"/>
          <w:noProof/>
          <w:sz w:val="22"/>
        </w:rPr>
      </w:pPr>
      <w:r w:rsidRPr="00DC3FAA">
        <w:rPr>
          <w:noProof/>
          <w:color w:val="000000"/>
        </w:rPr>
        <w:t>V.4.5</w:t>
      </w:r>
      <w:r>
        <w:rPr>
          <w:rFonts w:asciiTheme="minorHAnsi" w:eastAsiaTheme="minorEastAsia" w:hAnsiTheme="minorHAnsi" w:cstheme="minorBidi"/>
          <w:i w:val="0"/>
          <w:smallCaps w:val="0"/>
          <w:noProof/>
          <w:sz w:val="22"/>
        </w:rPr>
        <w:tab/>
      </w:r>
      <w:r w:rsidRPr="00DC3FAA">
        <w:rPr>
          <w:noProof/>
        </w:rPr>
        <w:t>Notification de l’accord-cadre</w:t>
      </w:r>
      <w:r>
        <w:rPr>
          <w:noProof/>
        </w:rPr>
        <w:tab/>
      </w:r>
      <w:r>
        <w:rPr>
          <w:noProof/>
        </w:rPr>
        <w:fldChar w:fldCharType="begin"/>
      </w:r>
      <w:r>
        <w:rPr>
          <w:noProof/>
        </w:rPr>
        <w:instrText xml:space="preserve"> PAGEREF _Toc202861590 \h </w:instrText>
      </w:r>
      <w:r>
        <w:rPr>
          <w:noProof/>
        </w:rPr>
      </w:r>
      <w:r>
        <w:rPr>
          <w:noProof/>
        </w:rPr>
        <w:fldChar w:fldCharType="separate"/>
      </w:r>
      <w:r>
        <w:rPr>
          <w:noProof/>
        </w:rPr>
        <w:t>26</w:t>
      </w:r>
      <w:r>
        <w:rPr>
          <w:noProof/>
        </w:rPr>
        <w:fldChar w:fldCharType="end"/>
      </w:r>
    </w:p>
    <w:p w:rsidR="00ED5BA5" w:rsidRDefault="00ED5BA5">
      <w:pPr>
        <w:pStyle w:val="TM3"/>
        <w:rPr>
          <w:rFonts w:asciiTheme="minorHAnsi" w:eastAsiaTheme="minorEastAsia" w:hAnsiTheme="minorHAnsi" w:cstheme="minorBidi"/>
          <w:i w:val="0"/>
          <w:smallCaps w:val="0"/>
          <w:noProof/>
          <w:sz w:val="22"/>
        </w:rPr>
      </w:pPr>
      <w:r w:rsidRPr="00DC3FAA">
        <w:rPr>
          <w:noProof/>
          <w:color w:val="000000"/>
        </w:rPr>
        <w:t>V.4.6</w:t>
      </w:r>
      <w:r>
        <w:rPr>
          <w:rFonts w:asciiTheme="minorHAnsi" w:eastAsiaTheme="minorEastAsia" w:hAnsiTheme="minorHAnsi" w:cstheme="minorBidi"/>
          <w:i w:val="0"/>
          <w:smallCaps w:val="0"/>
          <w:noProof/>
          <w:sz w:val="22"/>
        </w:rPr>
        <w:tab/>
      </w:r>
      <w:r w:rsidRPr="00DC3FAA">
        <w:rPr>
          <w:noProof/>
        </w:rPr>
        <w:t>Abandon de la procédure</w:t>
      </w:r>
      <w:r>
        <w:rPr>
          <w:noProof/>
        </w:rPr>
        <w:tab/>
      </w:r>
      <w:r>
        <w:rPr>
          <w:noProof/>
        </w:rPr>
        <w:fldChar w:fldCharType="begin"/>
      </w:r>
      <w:r>
        <w:rPr>
          <w:noProof/>
        </w:rPr>
        <w:instrText xml:space="preserve"> PAGEREF _Toc202861591 \h </w:instrText>
      </w:r>
      <w:r>
        <w:rPr>
          <w:noProof/>
        </w:rPr>
      </w:r>
      <w:r>
        <w:rPr>
          <w:noProof/>
        </w:rPr>
        <w:fldChar w:fldCharType="separate"/>
      </w:r>
      <w:r>
        <w:rPr>
          <w:noProof/>
        </w:rPr>
        <w:t>26</w:t>
      </w:r>
      <w:r>
        <w:rPr>
          <w:noProof/>
        </w:rPr>
        <w:fldChar w:fldCharType="end"/>
      </w:r>
    </w:p>
    <w:p w:rsidR="00ED5BA5" w:rsidRDefault="00ED5BA5">
      <w:pPr>
        <w:pStyle w:val="TM2"/>
        <w:rPr>
          <w:rFonts w:asciiTheme="minorHAnsi" w:eastAsiaTheme="minorEastAsia" w:hAnsiTheme="minorHAnsi" w:cstheme="minorBidi"/>
          <w:smallCaps w:val="0"/>
          <w:noProof/>
          <w:sz w:val="22"/>
        </w:rPr>
      </w:pPr>
      <w:r w:rsidRPr="00DC3FAA">
        <w:rPr>
          <w:rFonts w:ascii="Arial" w:hAnsi="Arial"/>
          <w:noProof/>
        </w:rPr>
        <w:t>V.5</w:t>
      </w:r>
      <w:r>
        <w:rPr>
          <w:rFonts w:asciiTheme="minorHAnsi" w:eastAsiaTheme="minorEastAsia" w:hAnsiTheme="minorHAnsi" w:cstheme="minorBidi"/>
          <w:smallCaps w:val="0"/>
          <w:noProof/>
          <w:sz w:val="22"/>
        </w:rPr>
        <w:tab/>
      </w:r>
      <w:r>
        <w:rPr>
          <w:noProof/>
        </w:rPr>
        <w:t>Différend et contentieux</w:t>
      </w:r>
      <w:r>
        <w:rPr>
          <w:noProof/>
        </w:rPr>
        <w:tab/>
      </w:r>
      <w:r>
        <w:rPr>
          <w:noProof/>
        </w:rPr>
        <w:fldChar w:fldCharType="begin"/>
      </w:r>
      <w:r>
        <w:rPr>
          <w:noProof/>
        </w:rPr>
        <w:instrText xml:space="preserve"> PAGEREF _Toc202861592 \h </w:instrText>
      </w:r>
      <w:r>
        <w:rPr>
          <w:noProof/>
        </w:rPr>
      </w:r>
      <w:r>
        <w:rPr>
          <w:noProof/>
        </w:rPr>
        <w:fldChar w:fldCharType="separate"/>
      </w:r>
      <w:r>
        <w:rPr>
          <w:noProof/>
        </w:rPr>
        <w:t>26</w:t>
      </w:r>
      <w:r>
        <w:rPr>
          <w:noProof/>
        </w:rPr>
        <w:fldChar w:fldCharType="end"/>
      </w:r>
    </w:p>
    <w:p w:rsidR="00ED5BA5" w:rsidRDefault="00ED5BA5">
      <w:pPr>
        <w:pStyle w:val="TM3"/>
        <w:rPr>
          <w:rFonts w:asciiTheme="minorHAnsi" w:eastAsiaTheme="minorEastAsia" w:hAnsiTheme="minorHAnsi" w:cstheme="minorBidi"/>
          <w:i w:val="0"/>
          <w:smallCaps w:val="0"/>
          <w:noProof/>
          <w:sz w:val="22"/>
        </w:rPr>
      </w:pPr>
      <w:r w:rsidRPr="00DC3FAA">
        <w:rPr>
          <w:noProof/>
          <w:color w:val="000000"/>
        </w:rPr>
        <w:t>V.5.1</w:t>
      </w:r>
      <w:r>
        <w:rPr>
          <w:rFonts w:asciiTheme="minorHAnsi" w:eastAsiaTheme="minorEastAsia" w:hAnsiTheme="minorHAnsi" w:cstheme="minorBidi"/>
          <w:i w:val="0"/>
          <w:smallCaps w:val="0"/>
          <w:noProof/>
          <w:sz w:val="22"/>
        </w:rPr>
        <w:tab/>
      </w:r>
      <w:r w:rsidRPr="00DC3FAA">
        <w:rPr>
          <w:noProof/>
        </w:rPr>
        <w:t>Médiation</w:t>
      </w:r>
      <w:r>
        <w:rPr>
          <w:noProof/>
        </w:rPr>
        <w:tab/>
      </w:r>
      <w:r>
        <w:rPr>
          <w:noProof/>
        </w:rPr>
        <w:fldChar w:fldCharType="begin"/>
      </w:r>
      <w:r>
        <w:rPr>
          <w:noProof/>
        </w:rPr>
        <w:instrText xml:space="preserve"> PAGEREF _Toc202861593 \h </w:instrText>
      </w:r>
      <w:r>
        <w:rPr>
          <w:noProof/>
        </w:rPr>
      </w:r>
      <w:r>
        <w:rPr>
          <w:noProof/>
        </w:rPr>
        <w:fldChar w:fldCharType="separate"/>
      </w:r>
      <w:r>
        <w:rPr>
          <w:noProof/>
        </w:rPr>
        <w:t>26</w:t>
      </w:r>
      <w:r>
        <w:rPr>
          <w:noProof/>
        </w:rPr>
        <w:fldChar w:fldCharType="end"/>
      </w:r>
    </w:p>
    <w:p w:rsidR="00ED5BA5" w:rsidRDefault="00ED5BA5">
      <w:pPr>
        <w:pStyle w:val="TM3"/>
        <w:rPr>
          <w:rFonts w:asciiTheme="minorHAnsi" w:eastAsiaTheme="minorEastAsia" w:hAnsiTheme="minorHAnsi" w:cstheme="minorBidi"/>
          <w:i w:val="0"/>
          <w:smallCaps w:val="0"/>
          <w:noProof/>
          <w:sz w:val="22"/>
        </w:rPr>
      </w:pPr>
      <w:r w:rsidRPr="00DC3FAA">
        <w:rPr>
          <w:noProof/>
          <w:color w:val="000000"/>
        </w:rPr>
        <w:t>V.5.2</w:t>
      </w:r>
      <w:r>
        <w:rPr>
          <w:rFonts w:asciiTheme="minorHAnsi" w:eastAsiaTheme="minorEastAsia" w:hAnsiTheme="minorHAnsi" w:cstheme="minorBidi"/>
          <w:i w:val="0"/>
          <w:smallCaps w:val="0"/>
          <w:noProof/>
          <w:sz w:val="22"/>
        </w:rPr>
        <w:tab/>
      </w:r>
      <w:r w:rsidRPr="00DC3FAA">
        <w:rPr>
          <w:noProof/>
        </w:rPr>
        <w:t>Litige</w:t>
      </w:r>
      <w:r>
        <w:rPr>
          <w:noProof/>
        </w:rPr>
        <w:tab/>
      </w:r>
      <w:r>
        <w:rPr>
          <w:noProof/>
        </w:rPr>
        <w:fldChar w:fldCharType="begin"/>
      </w:r>
      <w:r>
        <w:rPr>
          <w:noProof/>
        </w:rPr>
        <w:instrText xml:space="preserve"> PAGEREF _Toc202861594 \h </w:instrText>
      </w:r>
      <w:r>
        <w:rPr>
          <w:noProof/>
        </w:rPr>
      </w:r>
      <w:r>
        <w:rPr>
          <w:noProof/>
        </w:rPr>
        <w:fldChar w:fldCharType="separate"/>
      </w:r>
      <w:r>
        <w:rPr>
          <w:noProof/>
        </w:rPr>
        <w:t>26</w:t>
      </w:r>
      <w:r>
        <w:rPr>
          <w:noProof/>
        </w:rPr>
        <w:fldChar w:fldCharType="end"/>
      </w:r>
    </w:p>
    <w:p w:rsidR="00ED5BA5" w:rsidRDefault="00ED5BA5">
      <w:pPr>
        <w:pStyle w:val="TM2"/>
        <w:rPr>
          <w:rFonts w:asciiTheme="minorHAnsi" w:eastAsiaTheme="minorEastAsia" w:hAnsiTheme="minorHAnsi" w:cstheme="minorBidi"/>
          <w:smallCaps w:val="0"/>
          <w:noProof/>
          <w:sz w:val="22"/>
        </w:rPr>
      </w:pPr>
      <w:r w:rsidRPr="00DC3FAA">
        <w:rPr>
          <w:rFonts w:ascii="Arial" w:hAnsi="Arial"/>
          <w:noProof/>
        </w:rPr>
        <w:t>V.6</w:t>
      </w:r>
      <w:r>
        <w:rPr>
          <w:rFonts w:asciiTheme="minorHAnsi" w:eastAsiaTheme="minorEastAsia" w:hAnsiTheme="minorHAnsi" w:cstheme="minorBidi"/>
          <w:smallCaps w:val="0"/>
          <w:noProof/>
          <w:sz w:val="22"/>
        </w:rPr>
        <w:tab/>
      </w:r>
      <w:r>
        <w:rPr>
          <w:noProof/>
        </w:rPr>
        <w:t>Données personnelles</w:t>
      </w:r>
      <w:r>
        <w:rPr>
          <w:noProof/>
        </w:rPr>
        <w:tab/>
      </w:r>
      <w:r>
        <w:rPr>
          <w:noProof/>
        </w:rPr>
        <w:fldChar w:fldCharType="begin"/>
      </w:r>
      <w:r>
        <w:rPr>
          <w:noProof/>
        </w:rPr>
        <w:instrText xml:space="preserve"> PAGEREF _Toc202861595 \h </w:instrText>
      </w:r>
      <w:r>
        <w:rPr>
          <w:noProof/>
        </w:rPr>
      </w:r>
      <w:r>
        <w:rPr>
          <w:noProof/>
        </w:rPr>
        <w:fldChar w:fldCharType="separate"/>
      </w:r>
      <w:r>
        <w:rPr>
          <w:noProof/>
        </w:rPr>
        <w:t>27</w:t>
      </w:r>
      <w:r>
        <w:rPr>
          <w:noProof/>
        </w:rPr>
        <w:fldChar w:fldCharType="end"/>
      </w:r>
    </w:p>
    <w:p w:rsidR="00ED5BA5" w:rsidRDefault="00ED5BA5">
      <w:pPr>
        <w:pStyle w:val="TM1"/>
        <w:rPr>
          <w:rFonts w:asciiTheme="minorHAnsi" w:eastAsiaTheme="minorEastAsia" w:hAnsiTheme="minorHAnsi" w:cstheme="minorBidi"/>
          <w:smallCaps w:val="0"/>
          <w:noProof/>
          <w:sz w:val="22"/>
          <w:szCs w:val="22"/>
        </w:rPr>
      </w:pPr>
      <w:r>
        <w:rPr>
          <w:noProof/>
        </w:rPr>
        <w:t>ANNEXE I – Modalités de retrait du dossier de consultation et de remise du pli</w:t>
      </w:r>
      <w:r>
        <w:rPr>
          <w:noProof/>
        </w:rPr>
        <w:tab/>
      </w:r>
      <w:r>
        <w:rPr>
          <w:noProof/>
        </w:rPr>
        <w:fldChar w:fldCharType="begin"/>
      </w:r>
      <w:r>
        <w:rPr>
          <w:noProof/>
        </w:rPr>
        <w:instrText xml:space="preserve"> PAGEREF _Toc202861596 \h </w:instrText>
      </w:r>
      <w:r>
        <w:rPr>
          <w:noProof/>
        </w:rPr>
      </w:r>
      <w:r>
        <w:rPr>
          <w:noProof/>
        </w:rPr>
        <w:fldChar w:fldCharType="separate"/>
      </w:r>
      <w:r>
        <w:rPr>
          <w:noProof/>
        </w:rPr>
        <w:t>29</w:t>
      </w:r>
      <w:r>
        <w:rPr>
          <w:noProof/>
        </w:rPr>
        <w:fldChar w:fldCharType="end"/>
      </w:r>
    </w:p>
    <w:p w:rsidR="00ED5BA5" w:rsidRDefault="00ED5BA5">
      <w:pPr>
        <w:pStyle w:val="TM2"/>
        <w:rPr>
          <w:rFonts w:asciiTheme="minorHAnsi" w:eastAsiaTheme="minorEastAsia" w:hAnsiTheme="minorHAnsi" w:cstheme="minorBidi"/>
          <w:smallCaps w:val="0"/>
          <w:noProof/>
          <w:sz w:val="22"/>
        </w:rPr>
      </w:pPr>
      <w:r>
        <w:rPr>
          <w:noProof/>
        </w:rPr>
        <w:t>A. Modalités de retrait du dossier de consultation</w:t>
      </w:r>
      <w:r>
        <w:rPr>
          <w:noProof/>
        </w:rPr>
        <w:tab/>
      </w:r>
      <w:r>
        <w:rPr>
          <w:noProof/>
        </w:rPr>
        <w:fldChar w:fldCharType="begin"/>
      </w:r>
      <w:r>
        <w:rPr>
          <w:noProof/>
        </w:rPr>
        <w:instrText xml:space="preserve"> PAGEREF _Toc202861597 \h </w:instrText>
      </w:r>
      <w:r>
        <w:rPr>
          <w:noProof/>
        </w:rPr>
      </w:r>
      <w:r>
        <w:rPr>
          <w:noProof/>
        </w:rPr>
        <w:fldChar w:fldCharType="separate"/>
      </w:r>
      <w:r>
        <w:rPr>
          <w:noProof/>
        </w:rPr>
        <w:t>29</w:t>
      </w:r>
      <w:r>
        <w:rPr>
          <w:noProof/>
        </w:rPr>
        <w:fldChar w:fldCharType="end"/>
      </w:r>
    </w:p>
    <w:p w:rsidR="00ED5BA5" w:rsidRDefault="00ED5BA5">
      <w:pPr>
        <w:pStyle w:val="TM2"/>
        <w:rPr>
          <w:rFonts w:asciiTheme="minorHAnsi" w:eastAsiaTheme="minorEastAsia" w:hAnsiTheme="minorHAnsi" w:cstheme="minorBidi"/>
          <w:smallCaps w:val="0"/>
          <w:noProof/>
          <w:sz w:val="22"/>
        </w:rPr>
      </w:pPr>
      <w:r>
        <w:rPr>
          <w:noProof/>
        </w:rPr>
        <w:t>B. Remise du pli</w:t>
      </w:r>
      <w:r>
        <w:rPr>
          <w:noProof/>
        </w:rPr>
        <w:tab/>
      </w:r>
      <w:r>
        <w:rPr>
          <w:noProof/>
        </w:rPr>
        <w:fldChar w:fldCharType="begin"/>
      </w:r>
      <w:r>
        <w:rPr>
          <w:noProof/>
        </w:rPr>
        <w:instrText xml:space="preserve"> PAGEREF _Toc202861598 \h </w:instrText>
      </w:r>
      <w:r>
        <w:rPr>
          <w:noProof/>
        </w:rPr>
      </w:r>
      <w:r>
        <w:rPr>
          <w:noProof/>
        </w:rPr>
        <w:fldChar w:fldCharType="separate"/>
      </w:r>
      <w:r>
        <w:rPr>
          <w:noProof/>
        </w:rPr>
        <w:t>29</w:t>
      </w:r>
      <w:r>
        <w:rPr>
          <w:noProof/>
        </w:rPr>
        <w:fldChar w:fldCharType="end"/>
      </w:r>
    </w:p>
    <w:p w:rsidR="00ED5BA5" w:rsidRDefault="00ED5BA5">
      <w:pPr>
        <w:pStyle w:val="TM2"/>
        <w:rPr>
          <w:rFonts w:asciiTheme="minorHAnsi" w:eastAsiaTheme="minorEastAsia" w:hAnsiTheme="minorHAnsi" w:cstheme="minorBidi"/>
          <w:smallCaps w:val="0"/>
          <w:noProof/>
          <w:sz w:val="22"/>
        </w:rPr>
      </w:pPr>
      <w:r>
        <w:rPr>
          <w:noProof/>
        </w:rPr>
        <w:t>C. Forme du pli</w:t>
      </w:r>
      <w:r>
        <w:rPr>
          <w:noProof/>
        </w:rPr>
        <w:tab/>
      </w:r>
      <w:r>
        <w:rPr>
          <w:noProof/>
        </w:rPr>
        <w:fldChar w:fldCharType="begin"/>
      </w:r>
      <w:r>
        <w:rPr>
          <w:noProof/>
        </w:rPr>
        <w:instrText xml:space="preserve"> PAGEREF _Toc202861599 \h </w:instrText>
      </w:r>
      <w:r>
        <w:rPr>
          <w:noProof/>
        </w:rPr>
      </w:r>
      <w:r>
        <w:rPr>
          <w:noProof/>
        </w:rPr>
        <w:fldChar w:fldCharType="separate"/>
      </w:r>
      <w:r>
        <w:rPr>
          <w:noProof/>
        </w:rPr>
        <w:t>29</w:t>
      </w:r>
      <w:r>
        <w:rPr>
          <w:noProof/>
        </w:rPr>
        <w:fldChar w:fldCharType="end"/>
      </w:r>
    </w:p>
    <w:p w:rsidR="00ED5BA5" w:rsidRDefault="00ED5BA5">
      <w:pPr>
        <w:pStyle w:val="TM1"/>
        <w:rPr>
          <w:rFonts w:asciiTheme="minorHAnsi" w:eastAsiaTheme="minorEastAsia" w:hAnsiTheme="minorHAnsi" w:cstheme="minorBidi"/>
          <w:smallCaps w:val="0"/>
          <w:noProof/>
          <w:sz w:val="22"/>
          <w:szCs w:val="22"/>
        </w:rPr>
      </w:pPr>
      <w:r>
        <w:rPr>
          <w:noProof/>
        </w:rPr>
        <w:t>ANNEXE II – Modalités de signature electronique</w:t>
      </w:r>
      <w:r>
        <w:rPr>
          <w:noProof/>
        </w:rPr>
        <w:tab/>
      </w:r>
      <w:r>
        <w:rPr>
          <w:noProof/>
        </w:rPr>
        <w:fldChar w:fldCharType="begin"/>
      </w:r>
      <w:r>
        <w:rPr>
          <w:noProof/>
        </w:rPr>
        <w:instrText xml:space="preserve"> PAGEREF _Toc202861600 \h </w:instrText>
      </w:r>
      <w:r>
        <w:rPr>
          <w:noProof/>
        </w:rPr>
      </w:r>
      <w:r>
        <w:rPr>
          <w:noProof/>
        </w:rPr>
        <w:fldChar w:fldCharType="separate"/>
      </w:r>
      <w:r>
        <w:rPr>
          <w:noProof/>
        </w:rPr>
        <w:t>31</w:t>
      </w:r>
      <w:r>
        <w:rPr>
          <w:noProof/>
        </w:rPr>
        <w:fldChar w:fldCharType="end"/>
      </w:r>
    </w:p>
    <w:p w:rsidR="00ED5BA5" w:rsidRDefault="00ED5BA5">
      <w:pPr>
        <w:pStyle w:val="TM2"/>
        <w:rPr>
          <w:rFonts w:asciiTheme="minorHAnsi" w:eastAsiaTheme="minorEastAsia" w:hAnsiTheme="minorHAnsi" w:cstheme="minorBidi"/>
          <w:smallCaps w:val="0"/>
          <w:noProof/>
          <w:sz w:val="22"/>
        </w:rPr>
      </w:pPr>
      <w:r>
        <w:rPr>
          <w:noProof/>
        </w:rPr>
        <w:t>A. Généralités</w:t>
      </w:r>
      <w:r>
        <w:rPr>
          <w:noProof/>
        </w:rPr>
        <w:tab/>
      </w:r>
      <w:r>
        <w:rPr>
          <w:noProof/>
        </w:rPr>
        <w:fldChar w:fldCharType="begin"/>
      </w:r>
      <w:r>
        <w:rPr>
          <w:noProof/>
        </w:rPr>
        <w:instrText xml:space="preserve"> PAGEREF _Toc202861601 \h </w:instrText>
      </w:r>
      <w:r>
        <w:rPr>
          <w:noProof/>
        </w:rPr>
      </w:r>
      <w:r>
        <w:rPr>
          <w:noProof/>
        </w:rPr>
        <w:fldChar w:fldCharType="separate"/>
      </w:r>
      <w:r>
        <w:rPr>
          <w:noProof/>
        </w:rPr>
        <w:t>31</w:t>
      </w:r>
      <w:r>
        <w:rPr>
          <w:noProof/>
        </w:rPr>
        <w:fldChar w:fldCharType="end"/>
      </w:r>
    </w:p>
    <w:p w:rsidR="00ED5BA5" w:rsidRDefault="00ED5BA5">
      <w:pPr>
        <w:pStyle w:val="TM2"/>
        <w:rPr>
          <w:rFonts w:asciiTheme="minorHAnsi" w:eastAsiaTheme="minorEastAsia" w:hAnsiTheme="minorHAnsi" w:cstheme="minorBidi"/>
          <w:smallCaps w:val="0"/>
          <w:noProof/>
          <w:sz w:val="22"/>
        </w:rPr>
      </w:pPr>
      <w:r>
        <w:rPr>
          <w:noProof/>
        </w:rPr>
        <w:t>B. Conditions relatives aux certificats de signature électronique</w:t>
      </w:r>
      <w:r>
        <w:rPr>
          <w:noProof/>
        </w:rPr>
        <w:tab/>
      </w:r>
      <w:r>
        <w:rPr>
          <w:noProof/>
        </w:rPr>
        <w:fldChar w:fldCharType="begin"/>
      </w:r>
      <w:r>
        <w:rPr>
          <w:noProof/>
        </w:rPr>
        <w:instrText xml:space="preserve"> PAGEREF _Toc202861602 \h </w:instrText>
      </w:r>
      <w:r>
        <w:rPr>
          <w:noProof/>
        </w:rPr>
      </w:r>
      <w:r>
        <w:rPr>
          <w:noProof/>
        </w:rPr>
        <w:fldChar w:fldCharType="separate"/>
      </w:r>
      <w:r>
        <w:rPr>
          <w:noProof/>
        </w:rPr>
        <w:t>31</w:t>
      </w:r>
      <w:r>
        <w:rPr>
          <w:noProof/>
        </w:rPr>
        <w:fldChar w:fldCharType="end"/>
      </w:r>
    </w:p>
    <w:p w:rsidR="00ED5BA5" w:rsidRDefault="00ED5BA5">
      <w:pPr>
        <w:pStyle w:val="TM2"/>
        <w:rPr>
          <w:rFonts w:asciiTheme="minorHAnsi" w:eastAsiaTheme="minorEastAsia" w:hAnsiTheme="minorHAnsi" w:cstheme="minorBidi"/>
          <w:smallCaps w:val="0"/>
          <w:noProof/>
          <w:sz w:val="22"/>
        </w:rPr>
      </w:pPr>
      <w:r>
        <w:rPr>
          <w:noProof/>
        </w:rPr>
        <w:t>C. Conditions relatives aux dispositifs de création de signature électronique utilisés pour signer les fichiers</w:t>
      </w:r>
      <w:r>
        <w:rPr>
          <w:noProof/>
        </w:rPr>
        <w:tab/>
      </w:r>
      <w:r>
        <w:rPr>
          <w:noProof/>
        </w:rPr>
        <w:fldChar w:fldCharType="begin"/>
      </w:r>
      <w:r>
        <w:rPr>
          <w:noProof/>
        </w:rPr>
        <w:instrText xml:space="preserve"> PAGEREF _Toc202861603 \h </w:instrText>
      </w:r>
      <w:r>
        <w:rPr>
          <w:noProof/>
        </w:rPr>
      </w:r>
      <w:r>
        <w:rPr>
          <w:noProof/>
        </w:rPr>
        <w:fldChar w:fldCharType="separate"/>
      </w:r>
      <w:r>
        <w:rPr>
          <w:noProof/>
        </w:rPr>
        <w:t>32</w:t>
      </w:r>
      <w:r>
        <w:rPr>
          <w:noProof/>
        </w:rPr>
        <w:fldChar w:fldCharType="end"/>
      </w:r>
    </w:p>
    <w:p w:rsidR="002C06B7" w:rsidRDefault="00C33788">
      <w:pPr>
        <w:pStyle w:val="TM1"/>
        <w:sectPr w:rsidR="002C06B7">
          <w:headerReference w:type="default" r:id="rId9"/>
          <w:footerReference w:type="default" r:id="rId10"/>
          <w:headerReference w:type="first" r:id="rId11"/>
          <w:footerReference w:type="first" r:id="rId12"/>
          <w:footnotePr>
            <w:numRestart w:val="eachPage"/>
          </w:footnotePr>
          <w:pgSz w:w="11907" w:h="16840"/>
          <w:pgMar w:top="851" w:right="1134" w:bottom="851" w:left="1134" w:header="720" w:footer="720" w:gutter="0"/>
          <w:cols w:space="720"/>
          <w:titlePg/>
        </w:sectPr>
      </w:pPr>
      <w:r>
        <w:fldChar w:fldCharType="end"/>
      </w:r>
    </w:p>
    <w:p w:rsidR="002C06B7" w:rsidRDefault="00C33788">
      <w:pPr>
        <w:pStyle w:val="Titre1"/>
      </w:pPr>
      <w:bookmarkStart w:id="0" w:name="_Ref324779609"/>
      <w:bookmarkStart w:id="1" w:name="_Toc198742576"/>
      <w:bookmarkStart w:id="2" w:name="_Toc202861535"/>
      <w:r>
        <w:lastRenderedPageBreak/>
        <w:t>Caractéristiques generales de la consultation</w:t>
      </w:r>
      <w:bookmarkEnd w:id="0"/>
      <w:bookmarkEnd w:id="1"/>
      <w:bookmarkEnd w:id="2"/>
    </w:p>
    <w:p w:rsidR="002C06B7" w:rsidRDefault="00C33788">
      <w:pPr>
        <w:pStyle w:val="Titre2"/>
      </w:pPr>
      <w:bookmarkStart w:id="3" w:name="_Toc202861536"/>
      <w:bookmarkStart w:id="4" w:name="_Toc198742577"/>
      <w:r>
        <w:t>Objet du marché</w:t>
      </w:r>
      <w:bookmarkEnd w:id="3"/>
    </w:p>
    <w:p w:rsidR="002C06B7" w:rsidRDefault="00C33788">
      <w:r>
        <w:t xml:space="preserve">Le présent accord-cadre porte sur la réalisation et la diffusion de panoramas de presse biquotidiens, de synthèses de presse numériques à partir de la presse quotidienne nationale et régionale, des magazines, des médias TV/radio en ligne, de la presse spécialisée et des pure </w:t>
      </w:r>
      <w:proofErr w:type="spellStart"/>
      <w:r>
        <w:t>player</w:t>
      </w:r>
      <w:proofErr w:type="spellEnd"/>
      <w:r>
        <w:t xml:space="preserve"> sur les thématiques du ministère de l’Intérieur. </w:t>
      </w:r>
    </w:p>
    <w:p w:rsidR="002C06B7" w:rsidRDefault="00C33788">
      <w:pPr>
        <w:pStyle w:val="Titre2"/>
      </w:pPr>
      <w:bookmarkStart w:id="5" w:name="_Toc202861537"/>
      <w:r>
        <w:t>Procédure de passation</w:t>
      </w:r>
      <w:bookmarkEnd w:id="5"/>
      <w:r>
        <w:t xml:space="preserve"> </w:t>
      </w:r>
      <w:bookmarkEnd w:id="4"/>
    </w:p>
    <w:p w:rsidR="002C06B7" w:rsidRDefault="00C33788">
      <w:pPr>
        <w:pStyle w:val="Titre3"/>
        <w:rPr>
          <w:rFonts w:ascii="Marianne" w:hAnsi="Marianne"/>
        </w:rPr>
      </w:pPr>
      <w:r>
        <w:rPr>
          <w:rFonts w:ascii="Marianne" w:hAnsi="Marianne"/>
        </w:rPr>
        <w:tab/>
      </w:r>
      <w:bookmarkStart w:id="6" w:name="_Toc202861538"/>
      <w:r>
        <w:rPr>
          <w:rFonts w:ascii="Marianne" w:hAnsi="Marianne"/>
        </w:rPr>
        <w:t>Procédure</w:t>
      </w:r>
      <w:bookmarkEnd w:id="6"/>
    </w:p>
    <w:p w:rsidR="002C06B7" w:rsidRDefault="00C33788">
      <w:r>
        <w:t>La procédure utilisée dans la présente consultation est une procédure adaptée, conformément aux dispositions des articles L. 2123-1 2°, R. 2162-1 à R.2162-6, R.2162-13 et R.2162-14 et R.2123-1 du code de la commande publique.</w:t>
      </w:r>
    </w:p>
    <w:p w:rsidR="002C06B7" w:rsidRDefault="00C33788">
      <w:pPr>
        <w:pStyle w:val="Titre3"/>
        <w:rPr>
          <w:rFonts w:ascii="Marianne" w:hAnsi="Marianne"/>
        </w:rPr>
      </w:pPr>
      <w:bookmarkStart w:id="7" w:name="_Toc202861539"/>
      <w:r>
        <w:rPr>
          <w:rFonts w:ascii="Marianne" w:hAnsi="Marianne"/>
        </w:rPr>
        <w:t>Nomenclature communautaire CPV</w:t>
      </w:r>
      <w:bookmarkEnd w:id="7"/>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76"/>
        <w:gridCol w:w="6453"/>
      </w:tblGrid>
      <w:tr w:rsidR="002C06B7">
        <w:trPr>
          <w:jc w:val="center"/>
        </w:trPr>
        <w:tc>
          <w:tcPr>
            <w:tcW w:w="1649" w:type="pct"/>
            <w:tcBorders>
              <w:top w:val="single" w:sz="4" w:space="0" w:color="auto"/>
              <w:left w:val="single" w:sz="4" w:space="0" w:color="auto"/>
              <w:bottom w:val="single" w:sz="4" w:space="0" w:color="auto"/>
              <w:right w:val="single" w:sz="4" w:space="0" w:color="auto"/>
            </w:tcBorders>
            <w:shd w:val="clear" w:color="auto" w:fill="auto"/>
          </w:tcPr>
          <w:p w:rsidR="002C06B7" w:rsidRDefault="00C33788">
            <w:pPr>
              <w:spacing w:before="100" w:after="100"/>
              <w:ind w:left="356"/>
              <w:jc w:val="left"/>
              <w:rPr>
                <w:szCs w:val="22"/>
              </w:rPr>
            </w:pPr>
            <w:r>
              <w:rPr>
                <w:szCs w:val="22"/>
              </w:rPr>
              <w:t>CPV principal</w:t>
            </w:r>
          </w:p>
        </w:tc>
        <w:tc>
          <w:tcPr>
            <w:tcW w:w="3351" w:type="pct"/>
            <w:tcBorders>
              <w:top w:val="single" w:sz="4" w:space="0" w:color="auto"/>
              <w:left w:val="single" w:sz="4" w:space="0" w:color="auto"/>
              <w:bottom w:val="single" w:sz="4" w:space="0" w:color="auto"/>
              <w:right w:val="single" w:sz="4" w:space="0" w:color="auto"/>
            </w:tcBorders>
            <w:shd w:val="clear" w:color="auto" w:fill="auto"/>
          </w:tcPr>
          <w:p w:rsidR="002C06B7" w:rsidRDefault="00C33788">
            <w:pPr>
              <w:spacing w:before="100" w:after="100"/>
              <w:jc w:val="left"/>
              <w:rPr>
                <w:szCs w:val="22"/>
              </w:rPr>
            </w:pPr>
            <w:r>
              <w:rPr>
                <w:szCs w:val="22"/>
              </w:rPr>
              <w:t>92400000-5 services d’agence de presse (service spécifique de 92000000-1 à 92700000-8 [Services récréatifs, culturels et sportifs])</w:t>
            </w:r>
          </w:p>
        </w:tc>
      </w:tr>
    </w:tbl>
    <w:p w:rsidR="002C06B7" w:rsidRDefault="00C33788">
      <w:pPr>
        <w:pStyle w:val="Titre2"/>
      </w:pPr>
      <w:bookmarkStart w:id="8" w:name="_Toc202861540"/>
      <w:r>
        <w:t>forme de l’accord-cadre</w:t>
      </w:r>
      <w:bookmarkEnd w:id="8"/>
    </w:p>
    <w:p w:rsidR="006D62F6" w:rsidRDefault="006D62F6" w:rsidP="006D62F6">
      <w:pPr>
        <w:spacing w:before="0"/>
        <w:rPr>
          <w:szCs w:val="22"/>
        </w:rPr>
      </w:pPr>
      <w:r w:rsidRPr="00FB62B6">
        <w:rPr>
          <w:szCs w:val="22"/>
        </w:rPr>
        <w:t>Le présent marché public se présente sous la forme d’un accord-cadre</w:t>
      </w:r>
      <w:r>
        <w:rPr>
          <w:szCs w:val="22"/>
        </w:rPr>
        <w:t xml:space="preserve"> à bons de commande</w:t>
      </w:r>
      <w:r w:rsidRPr="00FB62B6">
        <w:rPr>
          <w:szCs w:val="22"/>
        </w:rPr>
        <w:t xml:space="preserve"> mono attributaire</w:t>
      </w:r>
      <w:r>
        <w:rPr>
          <w:szCs w:val="22"/>
        </w:rPr>
        <w:t xml:space="preserve">, au sens des articles </w:t>
      </w:r>
      <w:r>
        <w:t>R. 2162-2, R. 2162-13 et R. 2162-14 du Code de la commande publique</w:t>
      </w:r>
      <w:r>
        <w:rPr>
          <w:szCs w:val="22"/>
        </w:rPr>
        <w:t>.</w:t>
      </w:r>
    </w:p>
    <w:p w:rsidR="002C06B7" w:rsidRDefault="00C33788">
      <w:r>
        <w:t>Le présent accord-cadre est conclu à prix unitaire.</w:t>
      </w:r>
    </w:p>
    <w:p w:rsidR="002C06B7" w:rsidRDefault="00C33788">
      <w:pPr>
        <w:pStyle w:val="Titre2"/>
      </w:pPr>
      <w:bookmarkStart w:id="9" w:name="_Toc202861541"/>
      <w:r>
        <w:t>Allotissement</w:t>
      </w:r>
      <w:bookmarkEnd w:id="9"/>
    </w:p>
    <w:p w:rsidR="006D62F6" w:rsidRPr="00FB62B6" w:rsidRDefault="006D62F6" w:rsidP="006D62F6">
      <w:pPr>
        <w:spacing w:before="0"/>
        <w:rPr>
          <w:szCs w:val="22"/>
        </w:rPr>
      </w:pPr>
      <w:r w:rsidRPr="00FB62B6">
        <w:rPr>
          <w:szCs w:val="22"/>
        </w:rPr>
        <w:t>Conformément à l’article L</w:t>
      </w:r>
      <w:r>
        <w:rPr>
          <w:szCs w:val="22"/>
        </w:rPr>
        <w:t>. 2113-10 du C</w:t>
      </w:r>
      <w:r w:rsidRPr="00FB62B6">
        <w:rPr>
          <w:szCs w:val="22"/>
        </w:rPr>
        <w:t xml:space="preserve">ode de la commande publique, l’accord-cadre ne permettant pas l’indentification de prestations distinctes, elles font l’objet d’un lot unique. </w:t>
      </w:r>
    </w:p>
    <w:p w:rsidR="002C06B7" w:rsidRDefault="00C33788">
      <w:pPr>
        <w:pStyle w:val="Titre2"/>
      </w:pPr>
      <w:bookmarkStart w:id="10" w:name="_Toc202861542"/>
      <w:r>
        <w:t>Montants</w:t>
      </w:r>
      <w:bookmarkEnd w:id="10"/>
    </w:p>
    <w:p w:rsidR="006D62F6" w:rsidRDefault="006D62F6">
      <w:r w:rsidRPr="006D62F6">
        <w:t>Le présent accord-cadre est conclu à prix unitaire.</w:t>
      </w:r>
    </w:p>
    <w:p w:rsidR="002C06B7" w:rsidRDefault="00C33788">
      <w:r>
        <w:t>Le présent accord-cadre est conclu sans</w:t>
      </w:r>
      <w:r>
        <w:rPr>
          <w:b/>
        </w:rPr>
        <w:t xml:space="preserve"> </w:t>
      </w:r>
      <w:r>
        <w:rPr>
          <w:b/>
          <w:u w:val="single"/>
        </w:rPr>
        <w:t>montant minimum</w:t>
      </w:r>
      <w:r>
        <w:t xml:space="preserve"> et avec les montants maximums en € indiqués dans le tableau ci-dessous : </w:t>
      </w:r>
    </w:p>
    <w:tbl>
      <w:tblPr>
        <w:tblW w:w="94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4"/>
        <w:gridCol w:w="1662"/>
        <w:gridCol w:w="1307"/>
        <w:gridCol w:w="1393"/>
        <w:gridCol w:w="1307"/>
        <w:gridCol w:w="1287"/>
        <w:gridCol w:w="1432"/>
      </w:tblGrid>
      <w:tr w:rsidR="002C06B7">
        <w:trPr>
          <w:cantSplit/>
          <w:trHeight w:val="908"/>
          <w:jc w:val="center"/>
        </w:trPr>
        <w:tc>
          <w:tcPr>
            <w:tcW w:w="1044" w:type="dxa"/>
            <w:vMerge w:val="restart"/>
            <w:tcBorders>
              <w:top w:val="single" w:sz="12" w:space="0" w:color="auto"/>
              <w:left w:val="single" w:sz="12" w:space="0" w:color="auto"/>
              <w:right w:val="single" w:sz="12" w:space="0" w:color="auto"/>
            </w:tcBorders>
            <w:shd w:val="clear" w:color="auto" w:fill="9CC2E5"/>
          </w:tcPr>
          <w:p w:rsidR="002C06B7" w:rsidRDefault="00C33788">
            <w:pPr>
              <w:rPr>
                <w:b/>
              </w:rPr>
            </w:pPr>
            <w:r>
              <w:rPr>
                <w:b/>
              </w:rPr>
              <w:t>Lot(s)</w:t>
            </w:r>
          </w:p>
        </w:tc>
        <w:tc>
          <w:tcPr>
            <w:tcW w:w="2969" w:type="dxa"/>
            <w:gridSpan w:val="2"/>
            <w:tcBorders>
              <w:top w:val="single" w:sz="12" w:space="0" w:color="auto"/>
              <w:left w:val="single" w:sz="12" w:space="0" w:color="auto"/>
              <w:right w:val="single" w:sz="12" w:space="0" w:color="auto"/>
            </w:tcBorders>
            <w:shd w:val="clear" w:color="auto" w:fill="9CC2E5"/>
          </w:tcPr>
          <w:p w:rsidR="002C06B7" w:rsidRDefault="00C33788">
            <w:pPr>
              <w:rPr>
                <w:b/>
              </w:rPr>
            </w:pPr>
            <w:r>
              <w:rPr>
                <w:b/>
              </w:rPr>
              <w:t>Montant maximum en € pour la période initiale</w:t>
            </w:r>
          </w:p>
        </w:tc>
        <w:tc>
          <w:tcPr>
            <w:tcW w:w="2700" w:type="dxa"/>
            <w:gridSpan w:val="2"/>
            <w:tcBorders>
              <w:top w:val="single" w:sz="12" w:space="0" w:color="auto"/>
              <w:left w:val="single" w:sz="12" w:space="0" w:color="auto"/>
              <w:right w:val="single" w:sz="12" w:space="0" w:color="auto"/>
            </w:tcBorders>
            <w:shd w:val="clear" w:color="auto" w:fill="9CC2E5"/>
          </w:tcPr>
          <w:p w:rsidR="002C06B7" w:rsidRDefault="00C33788">
            <w:pPr>
              <w:rPr>
                <w:b/>
              </w:rPr>
            </w:pPr>
            <w:r>
              <w:rPr>
                <w:b/>
              </w:rPr>
              <w:t>Montant maximum en € par période de reconduction</w:t>
            </w:r>
          </w:p>
        </w:tc>
        <w:tc>
          <w:tcPr>
            <w:tcW w:w="2719" w:type="dxa"/>
            <w:gridSpan w:val="2"/>
            <w:tcBorders>
              <w:top w:val="single" w:sz="12" w:space="0" w:color="auto"/>
              <w:left w:val="single" w:sz="12" w:space="0" w:color="auto"/>
              <w:right w:val="single" w:sz="12" w:space="0" w:color="auto"/>
            </w:tcBorders>
            <w:shd w:val="clear" w:color="auto" w:fill="9CC2E5"/>
          </w:tcPr>
          <w:p w:rsidR="002C06B7" w:rsidRDefault="00C33788">
            <w:pPr>
              <w:rPr>
                <w:b/>
              </w:rPr>
            </w:pPr>
            <w:r>
              <w:rPr>
                <w:b/>
              </w:rPr>
              <w:t>Montant maximum en € pour la durée totale</w:t>
            </w:r>
          </w:p>
          <w:p w:rsidR="002C06B7" w:rsidRDefault="00C33788">
            <w:pPr>
              <w:rPr>
                <w:b/>
              </w:rPr>
            </w:pPr>
            <w:r>
              <w:rPr>
                <w:b/>
              </w:rPr>
              <w:t>(reconductions comprises)</w:t>
            </w:r>
          </w:p>
        </w:tc>
      </w:tr>
      <w:tr w:rsidR="002C06B7">
        <w:trPr>
          <w:cantSplit/>
          <w:trHeight w:val="158"/>
          <w:jc w:val="center"/>
        </w:trPr>
        <w:tc>
          <w:tcPr>
            <w:tcW w:w="1044" w:type="dxa"/>
            <w:vMerge/>
            <w:tcBorders>
              <w:left w:val="single" w:sz="12" w:space="0" w:color="auto"/>
              <w:bottom w:val="single" w:sz="12" w:space="0" w:color="auto"/>
              <w:right w:val="single" w:sz="12" w:space="0" w:color="auto"/>
            </w:tcBorders>
            <w:shd w:val="clear" w:color="auto" w:fill="auto"/>
          </w:tcPr>
          <w:p w:rsidR="002C06B7" w:rsidRDefault="002C06B7">
            <w:pPr>
              <w:rPr>
                <w:b/>
              </w:rPr>
            </w:pPr>
          </w:p>
        </w:tc>
        <w:tc>
          <w:tcPr>
            <w:tcW w:w="1662" w:type="dxa"/>
            <w:tcBorders>
              <w:left w:val="single" w:sz="12" w:space="0" w:color="auto"/>
              <w:bottom w:val="single" w:sz="12" w:space="0" w:color="auto"/>
              <w:right w:val="single" w:sz="12" w:space="0" w:color="auto"/>
            </w:tcBorders>
            <w:shd w:val="clear" w:color="auto" w:fill="DEEAF6"/>
            <w:vAlign w:val="center"/>
          </w:tcPr>
          <w:p w:rsidR="002C06B7" w:rsidRDefault="00C33788">
            <w:r>
              <w:t>HT</w:t>
            </w:r>
          </w:p>
        </w:tc>
        <w:tc>
          <w:tcPr>
            <w:tcW w:w="1307" w:type="dxa"/>
            <w:tcBorders>
              <w:left w:val="single" w:sz="12" w:space="0" w:color="auto"/>
              <w:bottom w:val="single" w:sz="12" w:space="0" w:color="auto"/>
              <w:right w:val="single" w:sz="12" w:space="0" w:color="auto"/>
            </w:tcBorders>
            <w:shd w:val="clear" w:color="auto" w:fill="DEEAF6"/>
            <w:vAlign w:val="center"/>
          </w:tcPr>
          <w:p w:rsidR="002C06B7" w:rsidRDefault="00C33788">
            <w:r>
              <w:t>TTC</w:t>
            </w:r>
          </w:p>
        </w:tc>
        <w:tc>
          <w:tcPr>
            <w:tcW w:w="1393" w:type="dxa"/>
            <w:tcBorders>
              <w:bottom w:val="single" w:sz="12" w:space="0" w:color="auto"/>
            </w:tcBorders>
            <w:shd w:val="clear" w:color="auto" w:fill="DEEAF6"/>
          </w:tcPr>
          <w:p w:rsidR="002C06B7" w:rsidRDefault="00C33788">
            <w:r>
              <w:t>HT</w:t>
            </w:r>
          </w:p>
        </w:tc>
        <w:tc>
          <w:tcPr>
            <w:tcW w:w="1307" w:type="dxa"/>
            <w:tcBorders>
              <w:bottom w:val="single" w:sz="12" w:space="0" w:color="auto"/>
              <w:right w:val="single" w:sz="12" w:space="0" w:color="auto"/>
            </w:tcBorders>
            <w:shd w:val="clear" w:color="auto" w:fill="DEEAF6"/>
          </w:tcPr>
          <w:p w:rsidR="002C06B7" w:rsidRDefault="00C33788">
            <w:r>
              <w:t>TTC</w:t>
            </w:r>
          </w:p>
        </w:tc>
        <w:tc>
          <w:tcPr>
            <w:tcW w:w="1287" w:type="dxa"/>
            <w:tcBorders>
              <w:left w:val="single" w:sz="12" w:space="0" w:color="auto"/>
              <w:bottom w:val="single" w:sz="12" w:space="0" w:color="auto"/>
            </w:tcBorders>
            <w:shd w:val="clear" w:color="auto" w:fill="DEEAF6"/>
          </w:tcPr>
          <w:p w:rsidR="002C06B7" w:rsidRDefault="00C33788">
            <w:r>
              <w:t>HT</w:t>
            </w:r>
          </w:p>
        </w:tc>
        <w:tc>
          <w:tcPr>
            <w:tcW w:w="1432" w:type="dxa"/>
            <w:tcBorders>
              <w:bottom w:val="single" w:sz="12" w:space="0" w:color="auto"/>
              <w:right w:val="single" w:sz="12" w:space="0" w:color="auto"/>
            </w:tcBorders>
            <w:shd w:val="clear" w:color="auto" w:fill="DEEAF6"/>
          </w:tcPr>
          <w:p w:rsidR="002C06B7" w:rsidRDefault="00C33788">
            <w:r>
              <w:t>TTC</w:t>
            </w:r>
          </w:p>
        </w:tc>
      </w:tr>
      <w:tr w:rsidR="002C06B7">
        <w:trPr>
          <w:cantSplit/>
          <w:trHeight w:val="309"/>
          <w:jc w:val="center"/>
        </w:trPr>
        <w:tc>
          <w:tcPr>
            <w:tcW w:w="1044" w:type="dxa"/>
            <w:tcBorders>
              <w:top w:val="single" w:sz="12" w:space="0" w:color="auto"/>
              <w:left w:val="single" w:sz="12" w:space="0" w:color="auto"/>
              <w:right w:val="single" w:sz="12" w:space="0" w:color="auto"/>
            </w:tcBorders>
            <w:shd w:val="clear" w:color="auto" w:fill="DEEAF6"/>
          </w:tcPr>
          <w:p w:rsidR="002C06B7" w:rsidRDefault="00C33788">
            <w:pPr>
              <w:rPr>
                <w:b/>
              </w:rPr>
            </w:pPr>
            <w:r>
              <w:rPr>
                <w:b/>
              </w:rPr>
              <w:t>unique</w:t>
            </w:r>
          </w:p>
        </w:tc>
        <w:tc>
          <w:tcPr>
            <w:tcW w:w="1662" w:type="dxa"/>
            <w:tcBorders>
              <w:top w:val="single" w:sz="12" w:space="0" w:color="auto"/>
              <w:left w:val="single" w:sz="12" w:space="0" w:color="auto"/>
              <w:right w:val="single" w:sz="12" w:space="0" w:color="auto"/>
            </w:tcBorders>
            <w:shd w:val="clear" w:color="auto" w:fill="auto"/>
          </w:tcPr>
          <w:p w:rsidR="002C06B7" w:rsidRDefault="00C33788" w:rsidP="006D62F6">
            <w:pPr>
              <w:jc w:val="center"/>
            </w:pPr>
            <w:r>
              <w:t>537 000</w:t>
            </w:r>
          </w:p>
        </w:tc>
        <w:tc>
          <w:tcPr>
            <w:tcW w:w="1307" w:type="dxa"/>
            <w:tcBorders>
              <w:top w:val="single" w:sz="12" w:space="0" w:color="auto"/>
              <w:left w:val="single" w:sz="12" w:space="0" w:color="auto"/>
              <w:right w:val="single" w:sz="12" w:space="0" w:color="auto"/>
            </w:tcBorders>
            <w:shd w:val="clear" w:color="auto" w:fill="auto"/>
          </w:tcPr>
          <w:p w:rsidR="002C06B7" w:rsidRDefault="00C33788" w:rsidP="006D62F6">
            <w:pPr>
              <w:jc w:val="center"/>
            </w:pPr>
            <w:r>
              <w:t>644 400</w:t>
            </w:r>
          </w:p>
        </w:tc>
        <w:tc>
          <w:tcPr>
            <w:tcW w:w="1393" w:type="dxa"/>
            <w:tcBorders>
              <w:top w:val="single" w:sz="12" w:space="0" w:color="auto"/>
              <w:left w:val="single" w:sz="12" w:space="0" w:color="auto"/>
              <w:right w:val="single" w:sz="12" w:space="0" w:color="auto"/>
            </w:tcBorders>
            <w:shd w:val="clear" w:color="auto" w:fill="auto"/>
          </w:tcPr>
          <w:p w:rsidR="002C06B7" w:rsidRDefault="00C33788" w:rsidP="006D62F6">
            <w:pPr>
              <w:jc w:val="center"/>
            </w:pPr>
            <w:r>
              <w:t>537 000</w:t>
            </w:r>
          </w:p>
        </w:tc>
        <w:tc>
          <w:tcPr>
            <w:tcW w:w="1307" w:type="dxa"/>
            <w:tcBorders>
              <w:top w:val="single" w:sz="12" w:space="0" w:color="auto"/>
              <w:left w:val="single" w:sz="12" w:space="0" w:color="auto"/>
              <w:right w:val="single" w:sz="12" w:space="0" w:color="auto"/>
            </w:tcBorders>
            <w:shd w:val="clear" w:color="auto" w:fill="auto"/>
          </w:tcPr>
          <w:p w:rsidR="002C06B7" w:rsidRDefault="00C33788" w:rsidP="006D62F6">
            <w:pPr>
              <w:jc w:val="center"/>
            </w:pPr>
            <w:r>
              <w:t>644 400</w:t>
            </w:r>
          </w:p>
        </w:tc>
        <w:tc>
          <w:tcPr>
            <w:tcW w:w="1287" w:type="dxa"/>
            <w:tcBorders>
              <w:top w:val="single" w:sz="12" w:space="0" w:color="auto"/>
              <w:left w:val="single" w:sz="12" w:space="0" w:color="auto"/>
            </w:tcBorders>
            <w:shd w:val="clear" w:color="auto" w:fill="auto"/>
          </w:tcPr>
          <w:p w:rsidR="002C06B7" w:rsidRDefault="00C33788" w:rsidP="006D62F6">
            <w:pPr>
              <w:jc w:val="center"/>
            </w:pPr>
            <w:r>
              <w:t>2 148 000</w:t>
            </w:r>
          </w:p>
        </w:tc>
        <w:tc>
          <w:tcPr>
            <w:tcW w:w="1432" w:type="dxa"/>
            <w:tcBorders>
              <w:top w:val="single" w:sz="12" w:space="0" w:color="auto"/>
              <w:right w:val="single" w:sz="12" w:space="0" w:color="auto"/>
            </w:tcBorders>
            <w:shd w:val="clear" w:color="auto" w:fill="auto"/>
          </w:tcPr>
          <w:p w:rsidR="002C06B7" w:rsidRDefault="00C33788" w:rsidP="006D62F6">
            <w:pPr>
              <w:jc w:val="center"/>
            </w:pPr>
            <w:r>
              <w:t>2 577 600</w:t>
            </w:r>
          </w:p>
        </w:tc>
      </w:tr>
    </w:tbl>
    <w:p w:rsidR="002C06B7" w:rsidRDefault="002C06B7"/>
    <w:p w:rsidR="002C06B7" w:rsidRDefault="00C33788">
      <w:r>
        <w:t xml:space="preserve">Les </w:t>
      </w:r>
      <w:r>
        <w:rPr>
          <w:u w:val="single"/>
        </w:rPr>
        <w:t>montants estimatifs</w:t>
      </w:r>
      <w:r>
        <w:t xml:space="preserve"> </w:t>
      </w:r>
      <w:r>
        <w:rPr>
          <w:bCs/>
        </w:rPr>
        <w:t xml:space="preserve">en € </w:t>
      </w:r>
      <w:r>
        <w:t xml:space="preserve">de l’accord-cadre sont : </w:t>
      </w:r>
    </w:p>
    <w:tbl>
      <w:tblPr>
        <w:tblW w:w="94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4"/>
        <w:gridCol w:w="1353"/>
        <w:gridCol w:w="1374"/>
        <w:gridCol w:w="1311"/>
        <w:gridCol w:w="1313"/>
        <w:gridCol w:w="1383"/>
        <w:gridCol w:w="1365"/>
      </w:tblGrid>
      <w:tr w:rsidR="002C06B7">
        <w:trPr>
          <w:trHeight w:val="1327"/>
          <w:jc w:val="center"/>
        </w:trPr>
        <w:tc>
          <w:tcPr>
            <w:tcW w:w="1304" w:type="dxa"/>
            <w:vMerge w:val="restart"/>
            <w:tcBorders>
              <w:top w:val="single" w:sz="12" w:space="0" w:color="auto"/>
              <w:left w:val="single" w:sz="12" w:space="0" w:color="auto"/>
              <w:right w:val="single" w:sz="12" w:space="0" w:color="auto"/>
            </w:tcBorders>
            <w:shd w:val="clear" w:color="auto" w:fill="9CC2E5"/>
          </w:tcPr>
          <w:p w:rsidR="002C06B7" w:rsidRDefault="00C33788">
            <w:r>
              <w:rPr>
                <w:b/>
              </w:rPr>
              <w:t>Lot(s)</w:t>
            </w:r>
          </w:p>
        </w:tc>
        <w:tc>
          <w:tcPr>
            <w:tcW w:w="2727" w:type="dxa"/>
            <w:gridSpan w:val="2"/>
            <w:tcBorders>
              <w:top w:val="single" w:sz="12" w:space="0" w:color="auto"/>
              <w:left w:val="single" w:sz="12" w:space="0" w:color="auto"/>
              <w:right w:val="single" w:sz="12" w:space="0" w:color="auto"/>
            </w:tcBorders>
            <w:shd w:val="clear" w:color="auto" w:fill="9CC2E5"/>
          </w:tcPr>
          <w:p w:rsidR="002C06B7" w:rsidRDefault="00C33788">
            <w:pPr>
              <w:rPr>
                <w:b/>
              </w:rPr>
            </w:pPr>
            <w:r>
              <w:rPr>
                <w:b/>
              </w:rPr>
              <w:t>Montant estimatif en € pour la période initiale</w:t>
            </w:r>
          </w:p>
        </w:tc>
        <w:tc>
          <w:tcPr>
            <w:tcW w:w="2624" w:type="dxa"/>
            <w:gridSpan w:val="2"/>
            <w:tcBorders>
              <w:top w:val="single" w:sz="12" w:space="0" w:color="auto"/>
              <w:left w:val="single" w:sz="12" w:space="0" w:color="auto"/>
              <w:right w:val="single" w:sz="12" w:space="0" w:color="auto"/>
            </w:tcBorders>
            <w:shd w:val="clear" w:color="auto" w:fill="9CC2E5"/>
          </w:tcPr>
          <w:p w:rsidR="002C06B7" w:rsidRDefault="00C33788">
            <w:pPr>
              <w:rPr>
                <w:b/>
              </w:rPr>
            </w:pPr>
            <w:r>
              <w:rPr>
                <w:b/>
              </w:rPr>
              <w:t>Montant estimatif en € par période de reconduction</w:t>
            </w:r>
          </w:p>
        </w:tc>
        <w:tc>
          <w:tcPr>
            <w:tcW w:w="2748" w:type="dxa"/>
            <w:gridSpan w:val="2"/>
            <w:tcBorders>
              <w:top w:val="single" w:sz="12" w:space="0" w:color="auto"/>
              <w:left w:val="single" w:sz="12" w:space="0" w:color="auto"/>
              <w:right w:val="single" w:sz="12" w:space="0" w:color="auto"/>
            </w:tcBorders>
            <w:shd w:val="clear" w:color="auto" w:fill="9CC2E5"/>
          </w:tcPr>
          <w:p w:rsidR="002C06B7" w:rsidRDefault="00C33788">
            <w:pPr>
              <w:rPr>
                <w:b/>
              </w:rPr>
            </w:pPr>
            <w:r>
              <w:rPr>
                <w:b/>
              </w:rPr>
              <w:t>Montant estimatif en € pour la durée totale</w:t>
            </w:r>
          </w:p>
          <w:p w:rsidR="002C06B7" w:rsidRDefault="00C33788">
            <w:pPr>
              <w:rPr>
                <w:b/>
              </w:rPr>
            </w:pPr>
            <w:r>
              <w:rPr>
                <w:b/>
              </w:rPr>
              <w:t>(reconductions comprises)</w:t>
            </w:r>
          </w:p>
        </w:tc>
      </w:tr>
      <w:tr w:rsidR="002C06B7">
        <w:trPr>
          <w:trHeight w:val="230"/>
          <w:jc w:val="center"/>
        </w:trPr>
        <w:tc>
          <w:tcPr>
            <w:tcW w:w="1304" w:type="dxa"/>
            <w:vMerge/>
            <w:tcBorders>
              <w:left w:val="single" w:sz="12" w:space="0" w:color="auto"/>
              <w:bottom w:val="single" w:sz="12" w:space="0" w:color="auto"/>
              <w:right w:val="single" w:sz="12" w:space="0" w:color="auto"/>
            </w:tcBorders>
            <w:shd w:val="clear" w:color="auto" w:fill="auto"/>
          </w:tcPr>
          <w:p w:rsidR="002C06B7" w:rsidRDefault="002C06B7"/>
        </w:tc>
        <w:tc>
          <w:tcPr>
            <w:tcW w:w="1353" w:type="dxa"/>
            <w:tcBorders>
              <w:left w:val="single" w:sz="12" w:space="0" w:color="auto"/>
              <w:bottom w:val="single" w:sz="12" w:space="0" w:color="auto"/>
              <w:right w:val="single" w:sz="12" w:space="0" w:color="auto"/>
            </w:tcBorders>
            <w:shd w:val="clear" w:color="auto" w:fill="DEEAF6"/>
            <w:vAlign w:val="center"/>
          </w:tcPr>
          <w:p w:rsidR="002C06B7" w:rsidRDefault="00C33788">
            <w:r>
              <w:t>HT</w:t>
            </w:r>
          </w:p>
        </w:tc>
        <w:tc>
          <w:tcPr>
            <w:tcW w:w="1374" w:type="dxa"/>
            <w:tcBorders>
              <w:left w:val="single" w:sz="12" w:space="0" w:color="auto"/>
              <w:bottom w:val="single" w:sz="12" w:space="0" w:color="auto"/>
              <w:right w:val="single" w:sz="12" w:space="0" w:color="auto"/>
            </w:tcBorders>
            <w:shd w:val="clear" w:color="auto" w:fill="DEEAF6"/>
            <w:vAlign w:val="center"/>
          </w:tcPr>
          <w:p w:rsidR="002C06B7" w:rsidRDefault="00C33788">
            <w:r>
              <w:t>TTC</w:t>
            </w:r>
          </w:p>
        </w:tc>
        <w:tc>
          <w:tcPr>
            <w:tcW w:w="1311" w:type="dxa"/>
            <w:tcBorders>
              <w:left w:val="single" w:sz="12" w:space="0" w:color="auto"/>
              <w:bottom w:val="single" w:sz="12" w:space="0" w:color="auto"/>
              <w:right w:val="single" w:sz="12" w:space="0" w:color="auto"/>
            </w:tcBorders>
            <w:shd w:val="clear" w:color="auto" w:fill="DEEAF6"/>
            <w:vAlign w:val="center"/>
          </w:tcPr>
          <w:p w:rsidR="002C06B7" w:rsidRDefault="00C33788">
            <w:r>
              <w:t>HT</w:t>
            </w:r>
          </w:p>
        </w:tc>
        <w:tc>
          <w:tcPr>
            <w:tcW w:w="1313" w:type="dxa"/>
            <w:tcBorders>
              <w:left w:val="single" w:sz="12" w:space="0" w:color="auto"/>
              <w:bottom w:val="single" w:sz="12" w:space="0" w:color="auto"/>
              <w:right w:val="single" w:sz="12" w:space="0" w:color="auto"/>
            </w:tcBorders>
            <w:shd w:val="clear" w:color="auto" w:fill="DEEAF6"/>
            <w:vAlign w:val="center"/>
          </w:tcPr>
          <w:p w:rsidR="002C06B7" w:rsidRDefault="00C33788">
            <w:r>
              <w:t>TTC</w:t>
            </w:r>
          </w:p>
        </w:tc>
        <w:tc>
          <w:tcPr>
            <w:tcW w:w="1383" w:type="dxa"/>
            <w:tcBorders>
              <w:left w:val="single" w:sz="12" w:space="0" w:color="auto"/>
              <w:bottom w:val="single" w:sz="12" w:space="0" w:color="auto"/>
            </w:tcBorders>
            <w:shd w:val="clear" w:color="auto" w:fill="DEEAF6"/>
          </w:tcPr>
          <w:p w:rsidR="002C06B7" w:rsidRDefault="00C33788">
            <w:r>
              <w:t>HT</w:t>
            </w:r>
          </w:p>
        </w:tc>
        <w:tc>
          <w:tcPr>
            <w:tcW w:w="1365" w:type="dxa"/>
            <w:tcBorders>
              <w:bottom w:val="single" w:sz="12" w:space="0" w:color="auto"/>
              <w:right w:val="single" w:sz="12" w:space="0" w:color="auto"/>
            </w:tcBorders>
            <w:shd w:val="clear" w:color="auto" w:fill="DEEAF6"/>
          </w:tcPr>
          <w:p w:rsidR="002C06B7" w:rsidRDefault="00C33788">
            <w:r>
              <w:t>TTC</w:t>
            </w:r>
          </w:p>
        </w:tc>
      </w:tr>
      <w:tr w:rsidR="002C06B7">
        <w:trPr>
          <w:trHeight w:val="452"/>
          <w:jc w:val="center"/>
        </w:trPr>
        <w:tc>
          <w:tcPr>
            <w:tcW w:w="1304" w:type="dxa"/>
            <w:tcBorders>
              <w:top w:val="single" w:sz="12" w:space="0" w:color="auto"/>
              <w:left w:val="single" w:sz="12" w:space="0" w:color="auto"/>
              <w:right w:val="single" w:sz="12" w:space="0" w:color="auto"/>
            </w:tcBorders>
            <w:shd w:val="clear" w:color="auto" w:fill="DEEAF6"/>
          </w:tcPr>
          <w:p w:rsidR="002C06B7" w:rsidRDefault="00C33788">
            <w:pPr>
              <w:rPr>
                <w:b/>
              </w:rPr>
            </w:pPr>
            <w:r>
              <w:rPr>
                <w:b/>
              </w:rPr>
              <w:t>unique</w:t>
            </w:r>
          </w:p>
        </w:tc>
        <w:tc>
          <w:tcPr>
            <w:tcW w:w="1353" w:type="dxa"/>
            <w:tcBorders>
              <w:top w:val="single" w:sz="12" w:space="0" w:color="auto"/>
              <w:left w:val="single" w:sz="12" w:space="0" w:color="auto"/>
            </w:tcBorders>
            <w:shd w:val="clear" w:color="auto" w:fill="auto"/>
          </w:tcPr>
          <w:p w:rsidR="002C06B7" w:rsidRDefault="00C33788" w:rsidP="006D62F6">
            <w:pPr>
              <w:jc w:val="center"/>
            </w:pPr>
            <w:r>
              <w:t>179 000</w:t>
            </w:r>
          </w:p>
        </w:tc>
        <w:tc>
          <w:tcPr>
            <w:tcW w:w="1374" w:type="dxa"/>
            <w:tcBorders>
              <w:top w:val="single" w:sz="12" w:space="0" w:color="auto"/>
              <w:right w:val="single" w:sz="12" w:space="0" w:color="auto"/>
            </w:tcBorders>
            <w:shd w:val="clear" w:color="auto" w:fill="auto"/>
          </w:tcPr>
          <w:p w:rsidR="002C06B7" w:rsidRDefault="00C33788" w:rsidP="006D62F6">
            <w:pPr>
              <w:jc w:val="center"/>
            </w:pPr>
            <w:r>
              <w:t>214 800</w:t>
            </w:r>
          </w:p>
        </w:tc>
        <w:tc>
          <w:tcPr>
            <w:tcW w:w="1311" w:type="dxa"/>
            <w:tcBorders>
              <w:top w:val="single" w:sz="12" w:space="0" w:color="auto"/>
              <w:left w:val="single" w:sz="12" w:space="0" w:color="auto"/>
            </w:tcBorders>
            <w:shd w:val="clear" w:color="auto" w:fill="auto"/>
          </w:tcPr>
          <w:p w:rsidR="002C06B7" w:rsidRDefault="00C33788" w:rsidP="006D62F6">
            <w:pPr>
              <w:jc w:val="center"/>
            </w:pPr>
            <w:r>
              <w:t>179 000</w:t>
            </w:r>
          </w:p>
        </w:tc>
        <w:tc>
          <w:tcPr>
            <w:tcW w:w="1313" w:type="dxa"/>
            <w:tcBorders>
              <w:top w:val="single" w:sz="12" w:space="0" w:color="auto"/>
              <w:right w:val="single" w:sz="12" w:space="0" w:color="auto"/>
            </w:tcBorders>
            <w:shd w:val="clear" w:color="auto" w:fill="auto"/>
          </w:tcPr>
          <w:p w:rsidR="002C06B7" w:rsidRDefault="00C33788" w:rsidP="006D62F6">
            <w:pPr>
              <w:jc w:val="center"/>
            </w:pPr>
            <w:r>
              <w:t>214 800</w:t>
            </w:r>
          </w:p>
        </w:tc>
        <w:tc>
          <w:tcPr>
            <w:tcW w:w="1383" w:type="dxa"/>
            <w:tcBorders>
              <w:top w:val="single" w:sz="12" w:space="0" w:color="auto"/>
              <w:left w:val="single" w:sz="12" w:space="0" w:color="auto"/>
            </w:tcBorders>
            <w:shd w:val="clear" w:color="auto" w:fill="auto"/>
          </w:tcPr>
          <w:p w:rsidR="002C06B7" w:rsidRDefault="00C33788" w:rsidP="006D62F6">
            <w:pPr>
              <w:jc w:val="center"/>
            </w:pPr>
            <w:r>
              <w:t>716 000</w:t>
            </w:r>
          </w:p>
        </w:tc>
        <w:tc>
          <w:tcPr>
            <w:tcW w:w="1365" w:type="dxa"/>
            <w:tcBorders>
              <w:top w:val="single" w:sz="12" w:space="0" w:color="auto"/>
              <w:right w:val="single" w:sz="12" w:space="0" w:color="auto"/>
            </w:tcBorders>
            <w:shd w:val="clear" w:color="auto" w:fill="auto"/>
          </w:tcPr>
          <w:p w:rsidR="002C06B7" w:rsidRDefault="00C33788" w:rsidP="006D62F6">
            <w:pPr>
              <w:jc w:val="center"/>
            </w:pPr>
            <w:r>
              <w:t>859 200</w:t>
            </w:r>
          </w:p>
        </w:tc>
      </w:tr>
    </w:tbl>
    <w:p w:rsidR="002C06B7" w:rsidRDefault="00C33788">
      <w:pPr>
        <w:pStyle w:val="Titre2"/>
      </w:pPr>
      <w:bookmarkStart w:id="11" w:name="_Toc202861543"/>
      <w:r>
        <w:t>Durée</w:t>
      </w:r>
      <w:bookmarkEnd w:id="11"/>
    </w:p>
    <w:p w:rsidR="002C06B7" w:rsidRDefault="00C33788">
      <w:r>
        <w:t>Le présent accord-cadre est conclu pour une période initiale d’un an à compter de sa date de notification, sauf si le montant maximum est atteint avant cette échéance.</w:t>
      </w:r>
    </w:p>
    <w:p w:rsidR="002C06B7" w:rsidRDefault="00C33788">
      <w:r>
        <w:t>Il sera ensuite reconductible trois fois, pour une durée d’un an au plus tôt à compter de la date à laquelle le montant maximum est atteint, ou au plus tard au terme d'un délai d’un an à compter de sa date de notification ou de sa reconduction, le cas échéant. La durée totale, reconductions comprises, n’excédera pas quatre ans.</w:t>
      </w:r>
    </w:p>
    <w:p w:rsidR="002C06B7" w:rsidRDefault="00C33788">
      <w:r>
        <w:t>Chaque reconduction prendra la forme d’une décision tacite. Conformément aux dispositions du Code de la commande publique, le titulaire ne pourra pas refuser cette reconduction.</w:t>
      </w:r>
    </w:p>
    <w:p w:rsidR="002C06B7" w:rsidRDefault="00C33788">
      <w:r>
        <w:t>Pour un marché dont le montant maximum est atteint, la reconduction interviendra dans les mêmes conditions dès le constat de cet événement.</w:t>
      </w:r>
    </w:p>
    <w:p w:rsidR="002C06B7" w:rsidRDefault="00C33788">
      <w:r>
        <w:t>En cas de non reconduction, l’acheteur en informe le titulaire deux mois avant la fin de la période en cours. Le titulaire reste cependant engagé jusqu’à la fin de la période en cours et pour toutes les commandes passées avant la date de fin de validité de l’accord-cadre.</w:t>
      </w:r>
    </w:p>
    <w:p w:rsidR="002C06B7" w:rsidRDefault="00C33788">
      <w:r>
        <w:t>Aucune indemnité n’est due à l’autre partie en cas de non-reconduction de l’accord-cadre.</w:t>
      </w:r>
    </w:p>
    <w:p w:rsidR="002C06B7" w:rsidRDefault="00C33788">
      <w:r>
        <w:t>Sans préjudice de l’article R. 2162-5 du Code de la commande publique, les bons de commande peuvent être notifiés jusqu'au dernier jour de la période de validité de l’accord-cadre, sans que la durée d’exécution des prestations ne puisse excéder de plus de six mois la date de fin de validité de l’accord-cadre.</w:t>
      </w:r>
    </w:p>
    <w:p w:rsidR="002C06B7" w:rsidRDefault="00C33788">
      <w:r>
        <w:t xml:space="preserve">La date-limite d’exécution des bons de commande définie ci-dessus correspond à la date de fin d’exécution des prestations et de début des opérations de vérification des prestations telles que définies à l’article </w:t>
      </w:r>
      <w:r w:rsidRPr="000042FF">
        <w:t>XII</w:t>
      </w:r>
      <w:r>
        <w:t xml:space="preserve"> du CCP.</w:t>
      </w:r>
    </w:p>
    <w:p w:rsidR="002C06B7" w:rsidRDefault="00C33788">
      <w:pPr>
        <w:pStyle w:val="Titre2"/>
      </w:pPr>
      <w:bookmarkStart w:id="12" w:name="_Toc202861544"/>
      <w:r>
        <w:t>Textes de reférence</w:t>
      </w:r>
      <w:bookmarkEnd w:id="12"/>
    </w:p>
    <w:p w:rsidR="002C06B7" w:rsidRDefault="00C33788">
      <w:pPr>
        <w:rPr>
          <w:szCs w:val="22"/>
          <w:lang w:eastAsia="en-US"/>
        </w:rPr>
      </w:pPr>
      <w:r>
        <w:rPr>
          <w:szCs w:val="22"/>
          <w:lang w:eastAsia="en-US"/>
        </w:rPr>
        <w:t>Les principaux textes auxquels il est fait référence dans le cadre de la présente consultation sont les suivants :</w:t>
      </w:r>
    </w:p>
    <w:p w:rsidR="002C06B7" w:rsidRDefault="00C33788">
      <w:pPr>
        <w:numPr>
          <w:ilvl w:val="0"/>
          <w:numId w:val="13"/>
        </w:numPr>
        <w:tabs>
          <w:tab w:val="clear" w:pos="360"/>
        </w:tabs>
        <w:spacing w:before="0"/>
        <w:ind w:left="720"/>
        <w:rPr>
          <w:rFonts w:cs="Times New Roman"/>
          <w:lang w:eastAsia="en-US"/>
        </w:rPr>
      </w:pPr>
      <w:r>
        <w:rPr>
          <w:rFonts w:cs="Times New Roman"/>
          <w:lang w:eastAsia="en-US"/>
        </w:rPr>
        <w:t>Le Code de la commande publique ;</w:t>
      </w:r>
    </w:p>
    <w:p w:rsidR="002C06B7" w:rsidRDefault="00C33788">
      <w:pPr>
        <w:numPr>
          <w:ilvl w:val="0"/>
          <w:numId w:val="13"/>
        </w:numPr>
        <w:tabs>
          <w:tab w:val="clear" w:pos="360"/>
        </w:tabs>
        <w:spacing w:before="0"/>
        <w:ind w:left="720"/>
        <w:rPr>
          <w:rFonts w:cs="Times New Roman"/>
        </w:rPr>
      </w:pPr>
      <w:r>
        <w:rPr>
          <w:rFonts w:cs="Times New Roman"/>
          <w:lang w:eastAsia="en-US"/>
        </w:rPr>
        <w:t xml:space="preserve">Le cahier des clauses </w:t>
      </w:r>
      <w:r>
        <w:rPr>
          <w:rFonts w:cs="Times New Roman"/>
        </w:rPr>
        <w:t>administratives générales des marchés publics de fournitures courantes et de services (CCAG-PI) approuvé par l’arrêté du 30 mars 2021.</w:t>
      </w:r>
    </w:p>
    <w:p w:rsidR="002C06B7" w:rsidRDefault="00C33788">
      <w:pPr>
        <w:pStyle w:val="Titre2"/>
      </w:pPr>
      <w:bookmarkStart w:id="13" w:name="_Toc200112962"/>
      <w:bookmarkStart w:id="14" w:name="_Toc202861545"/>
      <w:bookmarkStart w:id="15" w:name="_Toc198742578"/>
      <w:r>
        <w:lastRenderedPageBreak/>
        <w:t>Options, variantes</w:t>
      </w:r>
      <w:bookmarkEnd w:id="13"/>
      <w:r>
        <w:t xml:space="preserve"> </w:t>
      </w:r>
      <w:r w:rsidR="000042FF">
        <w:t>et prestations suppléméntaires</w:t>
      </w:r>
      <w:bookmarkEnd w:id="14"/>
    </w:p>
    <w:p w:rsidR="002C06B7" w:rsidRDefault="00C33788">
      <w:pPr>
        <w:pStyle w:val="2Listepoints"/>
        <w:numPr>
          <w:ilvl w:val="0"/>
          <w:numId w:val="0"/>
        </w:numPr>
      </w:pPr>
      <w:r>
        <w:t>L’accord-cadre n’est pas décomposé en tranches et ne comprend pas de prestations supplémentaires.</w:t>
      </w:r>
    </w:p>
    <w:p w:rsidR="002C06B7" w:rsidRDefault="00C33788">
      <w:pPr>
        <w:rPr>
          <w:rFonts w:cs="Calibri"/>
          <w:szCs w:val="22"/>
        </w:rPr>
      </w:pPr>
      <w:r>
        <w:rPr>
          <w:szCs w:val="22"/>
        </w:rPr>
        <w:t>Les variantes à l’initiative du soumissionnaire sont interdites dans le cadre du présent accord-cadre</w:t>
      </w:r>
      <w:r>
        <w:rPr>
          <w:rFonts w:cs="Calibri"/>
          <w:szCs w:val="22"/>
        </w:rPr>
        <w:t>.</w:t>
      </w:r>
    </w:p>
    <w:p w:rsidR="002C06B7" w:rsidRDefault="00C33788">
      <w:pPr>
        <w:rPr>
          <w:szCs w:val="22"/>
          <w:lang w:eastAsia="en-US"/>
        </w:rPr>
      </w:pPr>
      <w:r>
        <w:rPr>
          <w:szCs w:val="22"/>
          <w:lang w:eastAsia="en-US"/>
        </w:rPr>
        <w:t>Aucune variante n’est demandée par le pouvoir adjudicateur dans le cadre du présent accord-cadre.</w:t>
      </w:r>
    </w:p>
    <w:p w:rsidR="002C06B7" w:rsidRDefault="00C33788">
      <w:pPr>
        <w:pStyle w:val="Titre2"/>
      </w:pPr>
      <w:bookmarkStart w:id="16" w:name="_Toc202861546"/>
      <w:bookmarkEnd w:id="15"/>
      <w:r>
        <w:t>Développement durable</w:t>
      </w:r>
      <w:bookmarkEnd w:id="16"/>
    </w:p>
    <w:p w:rsidR="002C06B7" w:rsidRDefault="00C33788">
      <w:pPr>
        <w:rPr>
          <w:szCs w:val="22"/>
          <w:lang w:eastAsia="en-US"/>
        </w:rPr>
      </w:pPr>
      <w:r>
        <w:rPr>
          <w:szCs w:val="22"/>
          <w:lang w:eastAsia="en-US"/>
        </w:rPr>
        <w:t>Conformément aux dispositions de l’article L. 2112-2 du Code de la commande publique</w:t>
      </w:r>
      <w:r>
        <w:rPr>
          <w:szCs w:val="22"/>
        </w:rPr>
        <w:t xml:space="preserve">, le présent accord-cadre </w:t>
      </w:r>
      <w:r>
        <w:rPr>
          <w:szCs w:val="22"/>
          <w:lang w:eastAsia="en-US"/>
        </w:rPr>
        <w:t xml:space="preserve">comporte des clauses d’exécution environnementales qui sont exécutées dans les conditions définies à l’article </w:t>
      </w:r>
      <w:r w:rsidRPr="000042FF">
        <w:rPr>
          <w:szCs w:val="22"/>
          <w:lang w:eastAsia="en-US"/>
        </w:rPr>
        <w:t>VI</w:t>
      </w:r>
      <w:r w:rsidR="000042FF" w:rsidRPr="000042FF">
        <w:rPr>
          <w:szCs w:val="22"/>
          <w:lang w:eastAsia="en-US"/>
        </w:rPr>
        <w:t>I</w:t>
      </w:r>
      <w:r w:rsidRPr="000042FF">
        <w:rPr>
          <w:szCs w:val="22"/>
          <w:lang w:eastAsia="en-US"/>
        </w:rPr>
        <w:t>I</w:t>
      </w:r>
      <w:r>
        <w:rPr>
          <w:szCs w:val="22"/>
          <w:lang w:eastAsia="en-US"/>
        </w:rPr>
        <w:t xml:space="preserve"> du CCP.</w:t>
      </w:r>
    </w:p>
    <w:p w:rsidR="002C06B7" w:rsidRDefault="00C33788">
      <w:pPr>
        <w:pStyle w:val="Titre2"/>
      </w:pPr>
      <w:bookmarkStart w:id="17" w:name="_Toc202861547"/>
      <w:r>
        <w:t>Déontologie</w:t>
      </w:r>
      <w:bookmarkEnd w:id="17"/>
    </w:p>
    <w:p w:rsidR="002C06B7" w:rsidRDefault="00C33788">
      <w:pPr>
        <w:rPr>
          <w:szCs w:val="22"/>
          <w:lang w:eastAsia="en-US"/>
        </w:rPr>
      </w:pPr>
      <w:r>
        <w:rPr>
          <w:szCs w:val="22"/>
          <w:lang w:eastAsia="en-US"/>
        </w:rPr>
        <w:t>Les agents de l’Etat associés à l’élaboration et à la conduite de la présente consultation ainsi qu’au suivi d’exécution de l’accord-cadre auquel elle doit donner lieu sont soumis à des règles dont le respect scrupuleux contribue à garantir la transparence et l'incontestabilité de l'action publique, tout spécialement dans le cadre de l'achat public.</w:t>
      </w:r>
    </w:p>
    <w:p w:rsidR="002C06B7" w:rsidRDefault="00C33788">
      <w:pPr>
        <w:pStyle w:val="Titre2"/>
      </w:pPr>
      <w:bookmarkStart w:id="18" w:name="_Toc198742613"/>
      <w:bookmarkStart w:id="19" w:name="_Toc202861548"/>
      <w:r>
        <w:t>Modalités de correspondance</w:t>
      </w:r>
      <w:bookmarkEnd w:id="18"/>
      <w:bookmarkEnd w:id="19"/>
    </w:p>
    <w:p w:rsidR="002C06B7" w:rsidRDefault="00C33788">
      <w:pPr>
        <w:rPr>
          <w:szCs w:val="22"/>
          <w:lang w:eastAsia="en-US"/>
        </w:rPr>
      </w:pPr>
      <w:r>
        <w:rPr>
          <w:szCs w:val="22"/>
          <w:lang w:eastAsia="en-US"/>
        </w:rPr>
        <w:t xml:space="preserve">En application des articles L. 2132-2 et R. 2132-7 à R. 2132-11 du </w:t>
      </w:r>
      <w:r>
        <w:rPr>
          <w:szCs w:val="22"/>
        </w:rPr>
        <w:t>Code de la commande publique</w:t>
      </w:r>
      <w:r>
        <w:rPr>
          <w:szCs w:val="22"/>
          <w:lang w:eastAsia="en-US"/>
        </w:rPr>
        <w:t xml:space="preserve">, </w:t>
      </w:r>
      <w:r>
        <w:rPr>
          <w:szCs w:val="22"/>
        </w:rPr>
        <w:t>les communications et les échanges d'informations</w:t>
      </w:r>
      <w:r>
        <w:rPr>
          <w:szCs w:val="22"/>
          <w:lang w:eastAsia="en-US"/>
        </w:rPr>
        <w:t xml:space="preserve"> </w:t>
      </w:r>
      <w:r>
        <w:rPr>
          <w:szCs w:val="22"/>
        </w:rPr>
        <w:t>ont lieu par voie électronique</w:t>
      </w:r>
      <w:r>
        <w:rPr>
          <w:szCs w:val="22"/>
          <w:lang w:eastAsia="en-US"/>
        </w:rPr>
        <w:t>.</w:t>
      </w:r>
      <w:r>
        <w:rPr>
          <w:szCs w:val="22"/>
        </w:rPr>
        <w:t xml:space="preserve"> </w:t>
      </w:r>
    </w:p>
    <w:p w:rsidR="002C06B7" w:rsidRDefault="00C33788">
      <w:pPr>
        <w:rPr>
          <w:szCs w:val="22"/>
          <w:lang w:eastAsia="en-US"/>
        </w:rPr>
      </w:pPr>
      <w:r>
        <w:rPr>
          <w:szCs w:val="22"/>
          <w:lang w:eastAsia="en-US"/>
        </w:rPr>
        <w:t>Les opérateurs économiques adressent leurs correspondances à le pouvoir adjudicateur via la PLACE « marches-publics.gouv.fr »</w:t>
      </w:r>
      <w:r>
        <w:rPr>
          <w:szCs w:val="22"/>
          <w:vertAlign w:val="superscript"/>
          <w:lang w:eastAsia="en-US"/>
        </w:rPr>
        <w:footnoteReference w:id="1"/>
      </w:r>
      <w:r>
        <w:rPr>
          <w:szCs w:val="22"/>
          <w:lang w:eastAsia="en-US"/>
        </w:rPr>
        <w:t>.</w:t>
      </w:r>
    </w:p>
    <w:p w:rsidR="002C06B7" w:rsidRDefault="00C33788">
      <w:pPr>
        <w:rPr>
          <w:szCs w:val="22"/>
          <w:lang w:eastAsia="en-US"/>
        </w:rPr>
      </w:pPr>
      <w:r>
        <w:rPr>
          <w:szCs w:val="22"/>
          <w:lang w:eastAsia="en-US"/>
        </w:rPr>
        <w:t xml:space="preserve">L'opérateur économique doit s'assurer que les messages envoyés par la PLACE notamment, </w:t>
      </w:r>
      <w:hyperlink r:id="rId13" w:tooltip="mailto:nepasrépondre@marches-publics.gouv.fr" w:history="1">
        <w:r>
          <w:rPr>
            <w:rStyle w:val="Lienhypertexte"/>
            <w:b/>
            <w:bCs/>
            <w:i/>
            <w:iCs/>
            <w:szCs w:val="22"/>
            <w:lang w:eastAsia="en-US"/>
          </w:rPr>
          <w:t>nepasrépondre@marches-publics.gouv.fr</w:t>
        </w:r>
      </w:hyperlink>
      <w:r>
        <w:rPr>
          <w:szCs w:val="22"/>
          <w:lang w:eastAsia="en-US"/>
        </w:rPr>
        <w:t>, ne sont pas traités comme des courriels indésirables.</w:t>
      </w:r>
    </w:p>
    <w:p w:rsidR="002C06B7" w:rsidRDefault="00C33788">
      <w:pPr>
        <w:pStyle w:val="Titre1"/>
      </w:pPr>
      <w:bookmarkStart w:id="20" w:name="_Toc2868848"/>
      <w:bookmarkStart w:id="21" w:name="_Toc2869699"/>
      <w:bookmarkStart w:id="22" w:name="_Ref329790370"/>
      <w:bookmarkStart w:id="23" w:name="_Toc198742614"/>
      <w:bookmarkStart w:id="24" w:name="_Toc202861549"/>
      <w:bookmarkEnd w:id="20"/>
      <w:bookmarkEnd w:id="21"/>
      <w:r>
        <w:lastRenderedPageBreak/>
        <w:t>Dossier de consultation des entreprise</w:t>
      </w:r>
      <w:bookmarkEnd w:id="22"/>
      <w:r>
        <w:t>s</w:t>
      </w:r>
      <w:bookmarkEnd w:id="23"/>
      <w:bookmarkEnd w:id="24"/>
    </w:p>
    <w:p w:rsidR="002C06B7" w:rsidRDefault="00C33788">
      <w:pPr>
        <w:pStyle w:val="Titre2"/>
      </w:pPr>
      <w:bookmarkStart w:id="25" w:name="_Toc198742615"/>
      <w:bookmarkStart w:id="26" w:name="_Toc202861550"/>
      <w:r>
        <w:t>Contenu du dossier de consultation</w:t>
      </w:r>
      <w:bookmarkEnd w:id="25"/>
      <w:bookmarkEnd w:id="26"/>
    </w:p>
    <w:p w:rsidR="002C06B7" w:rsidRDefault="00C33788">
      <w:pPr>
        <w:tabs>
          <w:tab w:val="center" w:pos="4536"/>
        </w:tabs>
        <w:spacing w:before="0" w:after="0"/>
        <w:rPr>
          <w:rFonts w:cs="Calibri"/>
          <w:szCs w:val="22"/>
        </w:rPr>
      </w:pPr>
      <w:r>
        <w:rPr>
          <w:rFonts w:cs="Calibri"/>
          <w:b/>
          <w:szCs w:val="22"/>
        </w:rPr>
        <w:t>Les documents sont téléchargeables gratuitement</w:t>
      </w:r>
      <w:r>
        <w:rPr>
          <w:rFonts w:cs="Calibri"/>
          <w:szCs w:val="22"/>
        </w:rPr>
        <w:t xml:space="preserve"> sur la plateforme </w:t>
      </w:r>
      <w:r>
        <w:rPr>
          <w:rFonts w:cs="Calibri"/>
          <w:szCs w:val="22"/>
          <w:lang w:eastAsia="en-US"/>
        </w:rPr>
        <w:t>PLACE</w:t>
      </w:r>
      <w:r>
        <w:rPr>
          <w:rFonts w:cs="Calibri"/>
          <w:szCs w:val="22"/>
        </w:rPr>
        <w:t xml:space="preserve"> </w:t>
      </w:r>
      <w:r>
        <w:rPr>
          <w:rFonts w:cs="Calibri"/>
          <w:szCs w:val="22"/>
          <w:lang w:eastAsia="en-US"/>
        </w:rPr>
        <w:t>(référence de la</w:t>
      </w:r>
      <w:r>
        <w:rPr>
          <w:rFonts w:cs="Calibri"/>
          <w:szCs w:val="22"/>
          <w:lang w:eastAsia="en-US"/>
        </w:rPr>
        <w:br/>
        <w:t xml:space="preserve">consultation PRA039544) </w:t>
      </w:r>
      <w:r>
        <w:rPr>
          <w:rFonts w:cs="Calibri"/>
          <w:szCs w:val="22"/>
        </w:rPr>
        <w:t xml:space="preserve">: </w:t>
      </w:r>
    </w:p>
    <w:p w:rsidR="002C06B7" w:rsidRDefault="00C33788">
      <w:pPr>
        <w:tabs>
          <w:tab w:val="left" w:pos="5745"/>
        </w:tabs>
        <w:spacing w:before="0" w:after="0"/>
        <w:jc w:val="center"/>
        <w:rPr>
          <w:rFonts w:cs="Calibri"/>
          <w:szCs w:val="22"/>
        </w:rPr>
      </w:pPr>
      <w:r>
        <w:rPr>
          <w:rFonts w:cs="Calibri"/>
          <w:szCs w:val="22"/>
          <w:lang w:eastAsia="en-US"/>
        </w:rPr>
        <w:t>« </w:t>
      </w:r>
      <w:hyperlink r:id="rId14" w:tooltip="https://www.marches-publics.gouv.fr/entreprise" w:history="1">
        <w:r>
          <w:rPr>
            <w:rStyle w:val="Lienhypertexte"/>
            <w:rFonts w:cs="Calibri"/>
            <w:szCs w:val="22"/>
            <w:lang w:eastAsia="en-US"/>
          </w:rPr>
          <w:t>https://www.marches-publics.gouv.fr/entreprise</w:t>
        </w:r>
      </w:hyperlink>
      <w:r>
        <w:rPr>
          <w:rFonts w:cs="Calibri"/>
          <w:szCs w:val="22"/>
          <w:lang w:eastAsia="en-US"/>
        </w:rPr>
        <w:t>»</w:t>
      </w:r>
      <w:r>
        <w:rPr>
          <w:rFonts w:cs="Calibri"/>
          <w:szCs w:val="22"/>
          <w:vertAlign w:val="superscript"/>
          <w:lang w:eastAsia="en-US"/>
        </w:rPr>
        <w:footnoteReference w:id="2"/>
      </w:r>
      <w:r>
        <w:rPr>
          <w:rFonts w:cs="Calibri"/>
          <w:szCs w:val="22"/>
          <w:lang w:eastAsia="en-US"/>
        </w:rPr>
        <w:t>.</w:t>
      </w:r>
    </w:p>
    <w:p w:rsidR="002C06B7" w:rsidRDefault="00C33788">
      <w:pPr>
        <w:widowControl w:val="0"/>
        <w:spacing w:before="0" w:after="0"/>
        <w:rPr>
          <w:rFonts w:cs="Calibri"/>
          <w:bCs/>
          <w:szCs w:val="22"/>
        </w:rPr>
      </w:pPr>
      <w:r>
        <w:rPr>
          <w:rFonts w:cs="Calibri"/>
          <w:bCs/>
          <w:szCs w:val="22"/>
        </w:rPr>
        <w:t>Les pièces administratives et techniques, constituant le dossier de consultation des opérateurs économique (DCOE) sont les suivantes :</w:t>
      </w:r>
    </w:p>
    <w:p w:rsidR="002C06B7" w:rsidRDefault="00C33788">
      <w:pPr>
        <w:widowControl w:val="0"/>
        <w:numPr>
          <w:ilvl w:val="0"/>
          <w:numId w:val="33"/>
        </w:numPr>
        <w:tabs>
          <w:tab w:val="left" w:pos="709"/>
        </w:tabs>
        <w:spacing w:before="0" w:after="0"/>
        <w:rPr>
          <w:rFonts w:cs="Calibri"/>
          <w:bCs/>
          <w:szCs w:val="22"/>
        </w:rPr>
      </w:pPr>
      <w:r>
        <w:rPr>
          <w:rFonts w:cs="Calibri"/>
          <w:bCs/>
          <w:szCs w:val="22"/>
        </w:rPr>
        <w:t>L’avis d’appel à la concurrence ;</w:t>
      </w:r>
    </w:p>
    <w:p w:rsidR="002C06B7" w:rsidRDefault="00C33788">
      <w:pPr>
        <w:widowControl w:val="0"/>
        <w:numPr>
          <w:ilvl w:val="0"/>
          <w:numId w:val="33"/>
        </w:numPr>
        <w:tabs>
          <w:tab w:val="left" w:pos="709"/>
        </w:tabs>
        <w:spacing w:before="0" w:after="0"/>
        <w:rPr>
          <w:rFonts w:cs="Calibri"/>
          <w:bCs/>
          <w:szCs w:val="22"/>
        </w:rPr>
      </w:pPr>
      <w:r>
        <w:rPr>
          <w:rFonts w:cs="Calibri"/>
          <w:bCs/>
          <w:szCs w:val="22"/>
        </w:rPr>
        <w:t>Le présent règlement de la consultation (RC)</w:t>
      </w:r>
      <w:r>
        <w:rPr>
          <w:rFonts w:cs="Calibri"/>
          <w:b/>
          <w:bCs/>
          <w:szCs w:val="22"/>
        </w:rPr>
        <w:t xml:space="preserve"> et ses annexes;</w:t>
      </w:r>
      <w:r>
        <w:rPr>
          <w:rFonts w:cs="Calibri"/>
          <w:bCs/>
          <w:szCs w:val="22"/>
        </w:rPr>
        <w:t> </w:t>
      </w:r>
    </w:p>
    <w:p w:rsidR="002C06B7" w:rsidRDefault="00C33788">
      <w:pPr>
        <w:widowControl w:val="0"/>
        <w:numPr>
          <w:ilvl w:val="1"/>
          <w:numId w:val="35"/>
        </w:numPr>
        <w:tabs>
          <w:tab w:val="left" w:pos="709"/>
        </w:tabs>
        <w:spacing w:before="0" w:after="0"/>
        <w:rPr>
          <w:rFonts w:cs="Calibri"/>
          <w:bCs/>
          <w:szCs w:val="22"/>
        </w:rPr>
      </w:pPr>
      <w:r>
        <w:rPr>
          <w:rFonts w:cs="Calibri"/>
          <w:bCs/>
          <w:szCs w:val="22"/>
        </w:rPr>
        <w:t>L’annexe I relative aux modalités de retrait du dossier de consultation et de remise du pli ;</w:t>
      </w:r>
    </w:p>
    <w:p w:rsidR="002C06B7" w:rsidRDefault="00C33788">
      <w:pPr>
        <w:widowControl w:val="0"/>
        <w:numPr>
          <w:ilvl w:val="1"/>
          <w:numId w:val="35"/>
        </w:numPr>
        <w:tabs>
          <w:tab w:val="left" w:pos="709"/>
        </w:tabs>
        <w:spacing w:before="0" w:after="0"/>
        <w:rPr>
          <w:rFonts w:cs="Calibri"/>
          <w:bCs/>
          <w:szCs w:val="22"/>
        </w:rPr>
      </w:pPr>
      <w:r>
        <w:rPr>
          <w:rFonts w:cs="Calibri"/>
          <w:bCs/>
          <w:szCs w:val="22"/>
        </w:rPr>
        <w:t>L’annexe II relative aux modalités de signature électronique ;</w:t>
      </w:r>
    </w:p>
    <w:p w:rsidR="002C06B7" w:rsidRDefault="00C33788">
      <w:pPr>
        <w:widowControl w:val="0"/>
        <w:numPr>
          <w:ilvl w:val="1"/>
          <w:numId w:val="35"/>
        </w:numPr>
        <w:tabs>
          <w:tab w:val="left" w:pos="709"/>
        </w:tabs>
        <w:spacing w:before="0" w:after="0"/>
        <w:rPr>
          <w:rFonts w:cs="Calibri"/>
          <w:bCs/>
          <w:szCs w:val="22"/>
        </w:rPr>
      </w:pPr>
      <w:r>
        <w:rPr>
          <w:rFonts w:cs="Calibri"/>
          <w:bCs/>
          <w:szCs w:val="22"/>
        </w:rPr>
        <w:t>L’annexe III relative au formulaire DC1 ;</w:t>
      </w:r>
    </w:p>
    <w:p w:rsidR="002C06B7" w:rsidRDefault="00C33788">
      <w:pPr>
        <w:widowControl w:val="0"/>
        <w:numPr>
          <w:ilvl w:val="1"/>
          <w:numId w:val="35"/>
        </w:numPr>
        <w:tabs>
          <w:tab w:val="left" w:pos="709"/>
        </w:tabs>
        <w:spacing w:before="0" w:after="0"/>
        <w:rPr>
          <w:rFonts w:cs="Calibri"/>
          <w:bCs/>
          <w:szCs w:val="22"/>
        </w:rPr>
      </w:pPr>
      <w:r>
        <w:rPr>
          <w:rFonts w:cs="Calibri"/>
          <w:bCs/>
          <w:szCs w:val="22"/>
        </w:rPr>
        <w:t>L’annexe IV relative au formulaire DC2 ;</w:t>
      </w:r>
    </w:p>
    <w:p w:rsidR="002C06B7" w:rsidRDefault="00C33788">
      <w:pPr>
        <w:widowControl w:val="0"/>
        <w:numPr>
          <w:ilvl w:val="1"/>
          <w:numId w:val="35"/>
        </w:numPr>
        <w:tabs>
          <w:tab w:val="left" w:pos="709"/>
        </w:tabs>
        <w:spacing w:before="0" w:after="0"/>
        <w:rPr>
          <w:rFonts w:cs="Calibri"/>
          <w:bCs/>
          <w:szCs w:val="22"/>
        </w:rPr>
      </w:pPr>
      <w:r>
        <w:rPr>
          <w:rFonts w:cs="Calibri"/>
          <w:bCs/>
          <w:szCs w:val="22"/>
        </w:rPr>
        <w:t>L’annexe V relative au formulaire DC4 ;</w:t>
      </w:r>
    </w:p>
    <w:p w:rsidR="002C06B7" w:rsidRDefault="00C33788">
      <w:pPr>
        <w:widowControl w:val="0"/>
        <w:numPr>
          <w:ilvl w:val="1"/>
          <w:numId w:val="35"/>
        </w:numPr>
        <w:tabs>
          <w:tab w:val="left" w:pos="709"/>
        </w:tabs>
        <w:spacing w:before="0" w:after="0"/>
        <w:rPr>
          <w:rFonts w:cs="Calibri"/>
          <w:bCs/>
          <w:szCs w:val="22"/>
        </w:rPr>
      </w:pPr>
      <w:r>
        <w:rPr>
          <w:rFonts w:cs="Calibri"/>
          <w:bCs/>
          <w:szCs w:val="22"/>
        </w:rPr>
        <w:t>L’annexe VI relative au cadre de réponse technique ;</w:t>
      </w:r>
    </w:p>
    <w:p w:rsidR="002C06B7" w:rsidRDefault="00C33788">
      <w:pPr>
        <w:widowControl w:val="0"/>
        <w:numPr>
          <w:ilvl w:val="1"/>
          <w:numId w:val="35"/>
        </w:numPr>
        <w:tabs>
          <w:tab w:val="left" w:pos="709"/>
        </w:tabs>
        <w:spacing w:before="0" w:after="0"/>
        <w:rPr>
          <w:rFonts w:cs="Calibri"/>
          <w:bCs/>
          <w:szCs w:val="22"/>
        </w:rPr>
      </w:pPr>
      <w:r>
        <w:rPr>
          <w:rFonts w:cs="Calibri"/>
          <w:bCs/>
          <w:szCs w:val="22"/>
        </w:rPr>
        <w:t>L’annexe VII relative à la simulation financière ;</w:t>
      </w:r>
    </w:p>
    <w:p w:rsidR="002C06B7" w:rsidRDefault="00C33788">
      <w:pPr>
        <w:widowControl w:val="0"/>
        <w:numPr>
          <w:ilvl w:val="1"/>
          <w:numId w:val="35"/>
        </w:numPr>
        <w:tabs>
          <w:tab w:val="left" w:pos="709"/>
        </w:tabs>
        <w:spacing w:before="0" w:after="0"/>
        <w:rPr>
          <w:rFonts w:cs="Calibri"/>
          <w:bCs/>
          <w:szCs w:val="22"/>
        </w:rPr>
      </w:pPr>
      <w:r>
        <w:rPr>
          <w:rFonts w:cs="Calibri"/>
          <w:bCs/>
          <w:szCs w:val="22"/>
        </w:rPr>
        <w:t>L’annexe VIII relative à l’attestation sur l’honneur relative aux motifs d’exclusion.</w:t>
      </w:r>
    </w:p>
    <w:p w:rsidR="002C06B7" w:rsidRDefault="00C33788">
      <w:pPr>
        <w:widowControl w:val="0"/>
        <w:numPr>
          <w:ilvl w:val="0"/>
          <w:numId w:val="33"/>
        </w:numPr>
        <w:tabs>
          <w:tab w:val="left" w:pos="709"/>
        </w:tabs>
        <w:spacing w:before="0" w:after="0"/>
        <w:rPr>
          <w:rFonts w:cs="Calibri"/>
          <w:bCs/>
          <w:szCs w:val="22"/>
        </w:rPr>
      </w:pPr>
      <w:r>
        <w:rPr>
          <w:rFonts w:cs="Calibri"/>
          <w:bCs/>
          <w:szCs w:val="22"/>
        </w:rPr>
        <w:t>L’acte d’engagement ;</w:t>
      </w:r>
    </w:p>
    <w:p w:rsidR="002C06B7" w:rsidRDefault="00C33788">
      <w:pPr>
        <w:widowControl w:val="0"/>
        <w:numPr>
          <w:ilvl w:val="0"/>
          <w:numId w:val="34"/>
        </w:numPr>
        <w:tabs>
          <w:tab w:val="left" w:pos="709"/>
        </w:tabs>
        <w:spacing w:before="0" w:after="0"/>
        <w:rPr>
          <w:rFonts w:cs="Calibri"/>
          <w:bCs/>
          <w:szCs w:val="22"/>
        </w:rPr>
      </w:pPr>
      <w:r>
        <w:rPr>
          <w:rFonts w:cs="Calibri"/>
          <w:bCs/>
          <w:szCs w:val="22"/>
        </w:rPr>
        <w:t xml:space="preserve">L’annexe n° I à l’acte d’engagement relative à l’annexe financière ; </w:t>
      </w:r>
    </w:p>
    <w:p w:rsidR="002C06B7" w:rsidRDefault="00C33788">
      <w:pPr>
        <w:pStyle w:val="Corpsdetexte"/>
        <w:numPr>
          <w:ilvl w:val="0"/>
          <w:numId w:val="33"/>
        </w:numPr>
        <w:spacing w:before="0" w:after="0"/>
        <w:jc w:val="both"/>
        <w:rPr>
          <w:rFonts w:cs="Calibri"/>
          <w:bCs/>
          <w:szCs w:val="22"/>
        </w:rPr>
      </w:pPr>
      <w:r>
        <w:rPr>
          <w:rFonts w:cs="Calibri"/>
          <w:szCs w:val="22"/>
        </w:rPr>
        <w:t>Le cahier des clauses particulières (CCP) et ses annexes :</w:t>
      </w:r>
    </w:p>
    <w:p w:rsidR="002C06B7" w:rsidRDefault="00C33788">
      <w:pPr>
        <w:widowControl w:val="0"/>
        <w:numPr>
          <w:ilvl w:val="0"/>
          <w:numId w:val="36"/>
        </w:numPr>
        <w:tabs>
          <w:tab w:val="left" w:pos="709"/>
        </w:tabs>
        <w:spacing w:before="0" w:after="0"/>
        <w:rPr>
          <w:rFonts w:cs="Calibri"/>
          <w:bCs/>
          <w:szCs w:val="22"/>
        </w:rPr>
      </w:pPr>
      <w:r>
        <w:rPr>
          <w:rFonts w:cs="Calibri"/>
          <w:bCs/>
          <w:szCs w:val="22"/>
        </w:rPr>
        <w:t>L’annexe I au CCP relative à la politique de sécurité du ministère de l’Intérieur ;</w:t>
      </w:r>
    </w:p>
    <w:p w:rsidR="002C06B7" w:rsidRDefault="00C33788">
      <w:pPr>
        <w:widowControl w:val="0"/>
        <w:numPr>
          <w:ilvl w:val="0"/>
          <w:numId w:val="36"/>
        </w:numPr>
        <w:tabs>
          <w:tab w:val="left" w:pos="709"/>
        </w:tabs>
        <w:spacing w:before="0" w:after="0"/>
        <w:rPr>
          <w:rFonts w:cs="Calibri"/>
          <w:bCs/>
          <w:szCs w:val="22"/>
        </w:rPr>
      </w:pPr>
      <w:r>
        <w:rPr>
          <w:rFonts w:cs="Calibri"/>
          <w:bCs/>
          <w:szCs w:val="22"/>
        </w:rPr>
        <w:t>L’annexe II au CCP relative à l’engagement de reconnaissance des responsabilités ;</w:t>
      </w:r>
    </w:p>
    <w:p w:rsidR="002C06B7" w:rsidRDefault="00C33788">
      <w:pPr>
        <w:pStyle w:val="Corpsdetexte"/>
        <w:numPr>
          <w:ilvl w:val="0"/>
          <w:numId w:val="36"/>
        </w:numPr>
        <w:spacing w:before="0" w:after="0"/>
        <w:jc w:val="both"/>
        <w:rPr>
          <w:rFonts w:cs="Calibri"/>
          <w:bCs/>
          <w:szCs w:val="22"/>
        </w:rPr>
      </w:pPr>
      <w:r>
        <w:rPr>
          <w:rFonts w:cs="Calibri"/>
          <w:szCs w:val="22"/>
        </w:rPr>
        <w:t>L’annexe III 1a relative aux rubriques des panoramas complets et réduits ;</w:t>
      </w:r>
    </w:p>
    <w:p w:rsidR="002C06B7" w:rsidRDefault="00C33788">
      <w:pPr>
        <w:pStyle w:val="Corpsdetexte"/>
        <w:numPr>
          <w:ilvl w:val="0"/>
          <w:numId w:val="36"/>
        </w:numPr>
        <w:spacing w:before="0" w:after="0"/>
        <w:jc w:val="both"/>
        <w:rPr>
          <w:rFonts w:cs="Calibri"/>
          <w:bCs/>
          <w:szCs w:val="22"/>
        </w:rPr>
      </w:pPr>
      <w:r>
        <w:rPr>
          <w:rFonts w:cs="Calibri"/>
          <w:szCs w:val="22"/>
        </w:rPr>
        <w:t>L’annexe IV 1b relatives aux mots clés des panoramas complets et réduits ;</w:t>
      </w:r>
    </w:p>
    <w:p w:rsidR="002C06B7" w:rsidRDefault="00C33788">
      <w:pPr>
        <w:pStyle w:val="Corpsdetexte"/>
        <w:numPr>
          <w:ilvl w:val="0"/>
          <w:numId w:val="36"/>
        </w:numPr>
        <w:spacing w:before="0" w:after="0"/>
        <w:jc w:val="both"/>
        <w:rPr>
          <w:rFonts w:cs="Calibri"/>
          <w:bCs/>
          <w:szCs w:val="22"/>
        </w:rPr>
      </w:pPr>
      <w:r>
        <w:rPr>
          <w:rFonts w:cs="Calibri"/>
          <w:szCs w:val="22"/>
        </w:rPr>
        <w:t>L’annexe V relative à l’actualité par rubrique.</w:t>
      </w:r>
    </w:p>
    <w:p w:rsidR="002C06B7" w:rsidRDefault="00C33788">
      <w:pPr>
        <w:pStyle w:val="Titre2"/>
      </w:pPr>
      <w:bookmarkStart w:id="27" w:name="_Toc198742616"/>
      <w:bookmarkStart w:id="28" w:name="_Toc202861551"/>
      <w:r>
        <w:t>Précisions relatives au dossier de consultation</w:t>
      </w:r>
      <w:bookmarkEnd w:id="27"/>
      <w:bookmarkEnd w:id="28"/>
    </w:p>
    <w:p w:rsidR="002C06B7" w:rsidRDefault="00C33788">
      <w:pPr>
        <w:rPr>
          <w:szCs w:val="22"/>
        </w:rPr>
      </w:pPr>
      <w:r>
        <w:rPr>
          <w:szCs w:val="22"/>
        </w:rPr>
        <w:t xml:space="preserve">Jusqu’au </w:t>
      </w:r>
      <w:r>
        <w:rPr>
          <w:b/>
          <w:szCs w:val="22"/>
        </w:rPr>
        <w:t>dixième jour calendaire</w:t>
      </w:r>
      <w:r>
        <w:rPr>
          <w:szCs w:val="22"/>
        </w:rPr>
        <w:t xml:space="preserve"> précédant la date limite de réception des offres indiquée à l’article </w:t>
      </w:r>
      <w:r>
        <w:rPr>
          <w:szCs w:val="22"/>
        </w:rPr>
        <w:fldChar w:fldCharType="begin"/>
      </w:r>
      <w:r>
        <w:rPr>
          <w:szCs w:val="22"/>
        </w:rPr>
        <w:instrText xml:space="preserve"> REF _Ref341079480 \r \h  \* MERGEFORMAT </w:instrText>
      </w:r>
      <w:r>
        <w:rPr>
          <w:szCs w:val="22"/>
        </w:rPr>
      </w:r>
      <w:r>
        <w:rPr>
          <w:szCs w:val="22"/>
        </w:rPr>
        <w:fldChar w:fldCharType="separate"/>
      </w:r>
      <w:r>
        <w:rPr>
          <w:szCs w:val="22"/>
        </w:rPr>
        <w:t>III.2.1</w:t>
      </w:r>
      <w:r>
        <w:rPr>
          <w:szCs w:val="22"/>
        </w:rPr>
        <w:fldChar w:fldCharType="end"/>
      </w:r>
      <w:r>
        <w:rPr>
          <w:szCs w:val="22"/>
        </w:rPr>
        <w:t xml:space="preserve"> du présent document, les opérateurs économiques peuvent demander toutes les précisions qu’ils jugent utiles à l’établissement de leur offre.</w:t>
      </w:r>
    </w:p>
    <w:p w:rsidR="002C06B7" w:rsidRDefault="00C33788">
      <w:pPr>
        <w:rPr>
          <w:szCs w:val="22"/>
        </w:rPr>
      </w:pPr>
      <w:r>
        <w:rPr>
          <w:szCs w:val="22"/>
        </w:rPr>
        <w:t>Dans ce cadre, la demande de précisions doit être adressée à le pouvoir adjudicateur selon le moyen de correspondance mentionné à l’article I.12 du présent document.</w:t>
      </w:r>
    </w:p>
    <w:p w:rsidR="002C06B7" w:rsidRDefault="00C33788">
      <w:pPr>
        <w:jc w:val="left"/>
        <w:rPr>
          <w:szCs w:val="22"/>
        </w:rPr>
      </w:pPr>
      <w:r>
        <w:rPr>
          <w:szCs w:val="22"/>
        </w:rPr>
        <w:t>Le pouvoir adjudicateur apporte les réponses aux demandes de précisions présentées par les opérateurs économiques dans les délais. Les réponses sont transmises via la plateforme des achats « PLACE » à toutes les entreprises ayant téléchargé le DCE et s’étant identifiées au moyen d’une adresse électronique valide et les réponses d’ordre strictement individuel seront adressées via PLACE à chaque entreprise concernée.</w:t>
      </w:r>
    </w:p>
    <w:p w:rsidR="002C06B7" w:rsidRDefault="00C33788">
      <w:pPr>
        <w:rPr>
          <w:szCs w:val="22"/>
        </w:rPr>
      </w:pPr>
      <w:r>
        <w:rPr>
          <w:szCs w:val="22"/>
        </w:rPr>
        <w:lastRenderedPageBreak/>
        <w:t xml:space="preserve">Les réponses aux demandes de précision sont transmises </w:t>
      </w:r>
      <w:r>
        <w:rPr>
          <w:b/>
          <w:szCs w:val="22"/>
        </w:rPr>
        <w:t>six jours calendaires</w:t>
      </w:r>
      <w:r>
        <w:rPr>
          <w:szCs w:val="22"/>
        </w:rPr>
        <w:t xml:space="preserve"> au plus tard avant la date limite fixée pour la réception des offres.</w:t>
      </w:r>
    </w:p>
    <w:p w:rsidR="002C06B7" w:rsidRDefault="00C33788">
      <w:pPr>
        <w:rPr>
          <w:szCs w:val="22"/>
        </w:rPr>
      </w:pPr>
      <w:r>
        <w:rPr>
          <w:i/>
          <w:iCs/>
        </w:rPr>
        <w:t xml:space="preserve">NB : Il est précisé que </w:t>
      </w:r>
      <w:r w:rsidR="00EA5C16">
        <w:rPr>
          <w:i/>
          <w:iCs/>
        </w:rPr>
        <w:t xml:space="preserve">les </w:t>
      </w:r>
      <w:r>
        <w:rPr>
          <w:i/>
          <w:iCs/>
        </w:rPr>
        <w:t>délai</w:t>
      </w:r>
      <w:r w:rsidR="00EA5C16">
        <w:rPr>
          <w:i/>
          <w:iCs/>
        </w:rPr>
        <w:t>s du présent article</w:t>
      </w:r>
      <w:r>
        <w:rPr>
          <w:i/>
          <w:iCs/>
        </w:rPr>
        <w:t xml:space="preserve"> n'inclu</w:t>
      </w:r>
      <w:r w:rsidR="00EA5C16">
        <w:rPr>
          <w:i/>
          <w:iCs/>
        </w:rPr>
        <w:t>en</w:t>
      </w:r>
      <w:r>
        <w:rPr>
          <w:i/>
          <w:iCs/>
        </w:rPr>
        <w:t>t pas le jour de la date limite de remise des offres mais inclut le jour d'envoi de la réponse à la demande de compléments ou de renseignements. Ainsi, il prend fin la veille de la date limite de remise des offres à 23h59 et 59 secondes.</w:t>
      </w:r>
    </w:p>
    <w:p w:rsidR="002C06B7" w:rsidRDefault="00C33788">
      <w:pPr>
        <w:pStyle w:val="Titre2"/>
      </w:pPr>
      <w:bookmarkStart w:id="29" w:name="_Ref324333064"/>
      <w:bookmarkStart w:id="30" w:name="_Toc198742617"/>
      <w:bookmarkStart w:id="31" w:name="_Toc202861552"/>
      <w:r>
        <w:t>Modification du dossier de consultation</w:t>
      </w:r>
      <w:bookmarkEnd w:id="29"/>
      <w:bookmarkEnd w:id="30"/>
      <w:bookmarkEnd w:id="31"/>
    </w:p>
    <w:p w:rsidR="002C06B7" w:rsidRDefault="00C33788">
      <w:pPr>
        <w:rPr>
          <w:szCs w:val="22"/>
        </w:rPr>
      </w:pPr>
      <w:bookmarkStart w:id="32" w:name="_Ref330461587"/>
      <w:r>
        <w:rPr>
          <w:szCs w:val="22"/>
        </w:rPr>
        <w:t>Le pouvoir adjudicateur se réserve le droit,</w:t>
      </w:r>
      <w:r>
        <w:rPr>
          <w:b/>
          <w:szCs w:val="22"/>
        </w:rPr>
        <w:t xml:space="preserve"> six jours calendaires</w:t>
      </w:r>
      <w:r>
        <w:rPr>
          <w:szCs w:val="22"/>
        </w:rPr>
        <w:t xml:space="preserve"> au plus tard avant la date limite de réception des offres, d’apporter des modifications au dossier de consultation. Elle en informe les opérateurs économiques. </w:t>
      </w:r>
    </w:p>
    <w:p w:rsidR="002C06B7" w:rsidRDefault="00C33788">
      <w:pPr>
        <w:rPr>
          <w:szCs w:val="22"/>
        </w:rPr>
      </w:pPr>
      <w:r>
        <w:rPr>
          <w:szCs w:val="22"/>
        </w:rPr>
        <w:t>Ces modifications du dossier de consultation sont diffusées sur la PLACE.</w:t>
      </w:r>
      <w:bookmarkEnd w:id="32"/>
    </w:p>
    <w:p w:rsidR="002C06B7" w:rsidRDefault="00C33788">
      <w:pPr>
        <w:rPr>
          <w:szCs w:val="22"/>
        </w:rPr>
      </w:pPr>
      <w:r>
        <w:rPr>
          <w:i/>
          <w:iCs/>
        </w:rPr>
        <w:t>NB : Il est précisé que ce délai n'inclut pas le jour de la date limite de remise des offres mais inclut le jour de modification du dossier de consultation. Ainsi, il prend fin la veille de la date limite de remise des offres à 23h59 et 59 secondes.</w:t>
      </w:r>
    </w:p>
    <w:p w:rsidR="002C06B7" w:rsidRDefault="00C33788">
      <w:pPr>
        <w:pStyle w:val="Titre1"/>
      </w:pPr>
      <w:bookmarkStart w:id="33" w:name="_Toc198742618"/>
      <w:bookmarkStart w:id="34" w:name="_Toc202861553"/>
      <w:r>
        <w:lastRenderedPageBreak/>
        <w:t>Caractéristiques des offres remises</w:t>
      </w:r>
      <w:bookmarkEnd w:id="33"/>
      <w:bookmarkEnd w:id="34"/>
    </w:p>
    <w:p w:rsidR="002C06B7" w:rsidRDefault="00C33788">
      <w:pPr>
        <w:pStyle w:val="Titre2"/>
      </w:pPr>
      <w:bookmarkStart w:id="35" w:name="_Toc198742619"/>
      <w:bookmarkStart w:id="36" w:name="_Toc202861554"/>
      <w:r>
        <w:t>Généralites</w:t>
      </w:r>
      <w:bookmarkEnd w:id="35"/>
      <w:bookmarkEnd w:id="36"/>
    </w:p>
    <w:p w:rsidR="002C06B7" w:rsidRDefault="00C33788">
      <w:pPr>
        <w:pStyle w:val="Titre3"/>
        <w:rPr>
          <w:rFonts w:ascii="Marianne" w:hAnsi="Marianne"/>
        </w:rPr>
      </w:pPr>
      <w:bookmarkStart w:id="37" w:name="_Toc198742620"/>
      <w:bookmarkStart w:id="38" w:name="_Toc202861555"/>
      <w:r>
        <w:rPr>
          <w:rFonts w:ascii="Marianne" w:hAnsi="Marianne"/>
        </w:rPr>
        <w:t>Acceptation sans réserve des cahiers des charges</w:t>
      </w:r>
      <w:bookmarkEnd w:id="37"/>
      <w:bookmarkEnd w:id="38"/>
    </w:p>
    <w:p w:rsidR="002C06B7" w:rsidRDefault="00C33788">
      <w:pPr>
        <w:pStyle w:val="StylePremireligne063cm"/>
      </w:pPr>
      <w:r>
        <w:t>Le fait de soumettre une offre signifie que le soumissionnaire accepte sans réserve les dispositions du cahier des clauses particulières, annexes comprises.</w:t>
      </w:r>
    </w:p>
    <w:p w:rsidR="002C06B7" w:rsidRDefault="00C33788">
      <w:pPr>
        <w:pStyle w:val="Titre3"/>
        <w:rPr>
          <w:rFonts w:ascii="Marianne" w:hAnsi="Marianne"/>
        </w:rPr>
      </w:pPr>
      <w:bookmarkStart w:id="39" w:name="_Toc198742621"/>
      <w:bookmarkStart w:id="40" w:name="_Toc202861556"/>
      <w:r>
        <w:rPr>
          <w:rFonts w:ascii="Marianne" w:hAnsi="Marianne"/>
        </w:rPr>
        <w:t>Langue utilisée et monnaie</w:t>
      </w:r>
      <w:bookmarkEnd w:id="39"/>
      <w:bookmarkEnd w:id="40"/>
    </w:p>
    <w:p w:rsidR="002C06B7" w:rsidRDefault="00C33788">
      <w:pPr>
        <w:rPr>
          <w:szCs w:val="22"/>
        </w:rPr>
      </w:pPr>
      <w:r>
        <w:rPr>
          <w:szCs w:val="22"/>
        </w:rPr>
        <w:t xml:space="preserve">Les offres dans leur intégralité sont rédigées exclusivement en langue française. </w:t>
      </w:r>
    </w:p>
    <w:p w:rsidR="002C06B7" w:rsidRDefault="00C33788">
      <w:pPr>
        <w:rPr>
          <w:szCs w:val="22"/>
        </w:rPr>
      </w:pPr>
      <w:r>
        <w:rPr>
          <w:szCs w:val="22"/>
        </w:rPr>
        <w:t>L'unité monétaire de l’accord-cadre est l'euro (€).</w:t>
      </w:r>
    </w:p>
    <w:p w:rsidR="002C06B7" w:rsidRDefault="00C33788">
      <w:pPr>
        <w:pStyle w:val="Titre2"/>
      </w:pPr>
      <w:bookmarkStart w:id="41" w:name="_Ref341079107"/>
      <w:bookmarkStart w:id="42" w:name="_Toc198742622"/>
      <w:bookmarkStart w:id="43" w:name="_Toc202861557"/>
      <w:r>
        <w:t>Date-limite de réception des offres</w:t>
      </w:r>
      <w:bookmarkEnd w:id="41"/>
      <w:bookmarkEnd w:id="42"/>
      <w:bookmarkEnd w:id="43"/>
    </w:p>
    <w:p w:rsidR="002C06B7" w:rsidRDefault="00C33788">
      <w:pPr>
        <w:pStyle w:val="Titre3"/>
        <w:rPr>
          <w:rFonts w:ascii="Marianne" w:hAnsi="Marianne"/>
        </w:rPr>
      </w:pPr>
      <w:bookmarkStart w:id="44" w:name="_Ref341079480"/>
      <w:bookmarkStart w:id="45" w:name="_Toc198742623"/>
      <w:bookmarkStart w:id="46" w:name="_Toc202861558"/>
      <w:r>
        <w:rPr>
          <w:rFonts w:ascii="Marianne" w:hAnsi="Marianne"/>
        </w:rPr>
        <w:t>Date applicable à la présente consultation</w:t>
      </w:r>
      <w:bookmarkEnd w:id="44"/>
      <w:bookmarkEnd w:id="45"/>
      <w:bookmarkEnd w:id="46"/>
    </w:p>
    <w:p w:rsidR="002C06B7" w:rsidRDefault="00C33788">
      <w:pPr>
        <w:rPr>
          <w:szCs w:val="22"/>
        </w:rPr>
      </w:pPr>
      <w:r>
        <w:rPr>
          <w:szCs w:val="22"/>
        </w:rPr>
        <w:t>Sous peine d’irrecevabilité, les offres devront être reçues par le pouvoir adjudicateur avant la date suivante :</w:t>
      </w:r>
    </w:p>
    <w:p w:rsidR="002C06B7" w:rsidRDefault="00C33788">
      <w:pPr>
        <w:pStyle w:val="StylePremireligne063cm"/>
        <w:pBdr>
          <w:top w:val="single" w:sz="18" w:space="1" w:color="000000"/>
          <w:left w:val="single" w:sz="18" w:space="0" w:color="000000"/>
          <w:bottom w:val="single" w:sz="18" w:space="0" w:color="000000"/>
          <w:right w:val="single" w:sz="18" w:space="0" w:color="000000"/>
        </w:pBdr>
        <w:spacing w:before="240"/>
        <w:ind w:left="426" w:right="567"/>
        <w:jc w:val="center"/>
        <w:rPr>
          <w:b/>
          <w:color w:val="0070C0"/>
          <w:sz w:val="32"/>
        </w:rPr>
      </w:pPr>
      <w:r>
        <w:rPr>
          <w:b/>
          <w:color w:val="0070C0"/>
          <w:sz w:val="32"/>
        </w:rPr>
        <w:t>DATE-LIMITE DE RÉCEPTION DES OFFRES</w:t>
      </w:r>
    </w:p>
    <w:p w:rsidR="002C06B7" w:rsidRDefault="00793E48">
      <w:pPr>
        <w:pStyle w:val="StylePremireligne063cm"/>
        <w:pBdr>
          <w:top w:val="single" w:sz="18" w:space="1" w:color="000000"/>
          <w:left w:val="single" w:sz="18" w:space="0" w:color="000000"/>
          <w:bottom w:val="single" w:sz="18" w:space="0" w:color="000000"/>
          <w:right w:val="single" w:sz="18" w:space="0" w:color="000000"/>
        </w:pBdr>
        <w:spacing w:before="0" w:after="240"/>
        <w:ind w:left="426" w:right="567"/>
        <w:jc w:val="center"/>
        <w:rPr>
          <w:b/>
          <w:color w:val="0070C0"/>
          <w:sz w:val="32"/>
        </w:rPr>
      </w:pPr>
      <w:r>
        <w:rPr>
          <w:b/>
          <w:color w:val="0070C0"/>
          <w:sz w:val="32"/>
        </w:rPr>
        <w:t>19</w:t>
      </w:r>
      <w:r w:rsidR="00A90FE8" w:rsidRPr="00A90FE8">
        <w:rPr>
          <w:b/>
          <w:color w:val="0070C0"/>
          <w:sz w:val="32"/>
        </w:rPr>
        <w:t>/09</w:t>
      </w:r>
      <w:r w:rsidR="000042FF" w:rsidRPr="00A90FE8">
        <w:rPr>
          <w:b/>
          <w:color w:val="0070C0"/>
          <w:sz w:val="32"/>
        </w:rPr>
        <w:t>/</w:t>
      </w:r>
      <w:r w:rsidR="00C33788" w:rsidRPr="00A90FE8">
        <w:rPr>
          <w:b/>
          <w:color w:val="0070C0"/>
          <w:sz w:val="32"/>
        </w:rPr>
        <w:t>2025 – 12h00</w:t>
      </w:r>
      <w:bookmarkStart w:id="47" w:name="_GoBack"/>
      <w:bookmarkEnd w:id="47"/>
    </w:p>
    <w:p w:rsidR="002C06B7" w:rsidRDefault="00C33788">
      <w:pPr>
        <w:rPr>
          <w:szCs w:val="22"/>
        </w:rPr>
      </w:pPr>
      <w:r>
        <w:rPr>
          <w:szCs w:val="22"/>
        </w:rPr>
        <w:t xml:space="preserve">Le fuseau horaire, sur lequel est rattachée cette heure limite, est celui de Paris. </w:t>
      </w:r>
    </w:p>
    <w:p w:rsidR="002C06B7" w:rsidRDefault="00C33788">
      <w:pPr>
        <w:tabs>
          <w:tab w:val="left" w:pos="5745"/>
        </w:tabs>
        <w:spacing w:before="0" w:after="0"/>
        <w:rPr>
          <w:rFonts w:cs="Calibri"/>
          <w:szCs w:val="22"/>
        </w:rPr>
      </w:pPr>
      <w:r>
        <w:rPr>
          <w:rFonts w:cs="Calibri"/>
          <w:szCs w:val="22"/>
        </w:rPr>
        <w:t xml:space="preserve">Les plis qui sont reçus ou remis après cette date et cette heure ne sont pas ouverts. Pour cela, il est recommandé aux candidats d’accomplir en temps utile les diligences normales attendues d'un candidat pour le téléchargement de son offre et de vérifier que le fonctionnement de son équipement informatique est normal. </w:t>
      </w:r>
    </w:p>
    <w:p w:rsidR="002C06B7" w:rsidRDefault="002C06B7">
      <w:pPr>
        <w:tabs>
          <w:tab w:val="left" w:pos="5745"/>
        </w:tabs>
        <w:spacing w:before="0" w:after="0"/>
        <w:rPr>
          <w:rFonts w:cs="Calibri"/>
          <w:szCs w:val="22"/>
        </w:rPr>
      </w:pPr>
    </w:p>
    <w:p w:rsidR="002C06B7" w:rsidRDefault="00C33788">
      <w:pPr>
        <w:tabs>
          <w:tab w:val="left" w:pos="5745"/>
        </w:tabs>
        <w:spacing w:before="0" w:after="0"/>
        <w:rPr>
          <w:rFonts w:cs="Calibri"/>
          <w:szCs w:val="22"/>
        </w:rPr>
      </w:pPr>
      <w:r>
        <w:rPr>
          <w:rFonts w:cs="Calibri"/>
          <w:szCs w:val="22"/>
        </w:rPr>
        <w:t>En particulier, les plis dont le téléchargement a commencé avant la date et l'heure limite mais s'est achevé hors délai sont éliminés par l'acheteur. Les candidats doivent prévoir le temps nécessaire pour que le dépôt soit effectif dans le délai fixé par l'acheteur, notamment lorsque les fichiers sont volumineux et/ou si le réseau à un faible débit.</w:t>
      </w:r>
    </w:p>
    <w:p w:rsidR="002C06B7" w:rsidRDefault="002C06B7">
      <w:pPr>
        <w:tabs>
          <w:tab w:val="left" w:pos="5745"/>
        </w:tabs>
        <w:spacing w:before="0" w:after="0"/>
        <w:rPr>
          <w:rFonts w:cs="Calibri"/>
          <w:szCs w:val="22"/>
        </w:rPr>
      </w:pPr>
    </w:p>
    <w:p w:rsidR="002C06B7" w:rsidRDefault="00C33788">
      <w:pPr>
        <w:spacing w:before="0" w:after="0"/>
        <w:rPr>
          <w:rFonts w:cs="Calibri"/>
          <w:szCs w:val="22"/>
        </w:rPr>
      </w:pPr>
      <w:r>
        <w:rPr>
          <w:rFonts w:cs="Calibri"/>
          <w:szCs w:val="22"/>
        </w:rPr>
        <w:t xml:space="preserve">Après le dépôt du pli sur la plate-forme, un message indique que l'opération de dépôt du pli a été réalisée avec succès, puis un accusé de réception est adressé au candidat par courrier électronique donnant à son dépôt une date et une heure certaines, la date et l'heure de fin de réception faisant référence. </w:t>
      </w:r>
    </w:p>
    <w:p w:rsidR="002C06B7" w:rsidRDefault="002C06B7">
      <w:pPr>
        <w:spacing w:before="0" w:after="0"/>
        <w:rPr>
          <w:rFonts w:cs="Calibri"/>
          <w:szCs w:val="22"/>
        </w:rPr>
      </w:pPr>
    </w:p>
    <w:p w:rsidR="002C06B7" w:rsidRDefault="00C33788">
      <w:pPr>
        <w:tabs>
          <w:tab w:val="left" w:pos="5745"/>
        </w:tabs>
        <w:spacing w:before="0" w:after="0"/>
        <w:rPr>
          <w:rFonts w:cs="Calibri"/>
          <w:szCs w:val="22"/>
        </w:rPr>
      </w:pPr>
      <w:r>
        <w:rPr>
          <w:rFonts w:cs="Calibri"/>
          <w:szCs w:val="22"/>
        </w:rPr>
        <w:t>L'absence de message de confirmation de bonne réception ou d'accusé de réception électronique signifie que la réponse n'est pas parvenue à l'acheteur.</w:t>
      </w:r>
    </w:p>
    <w:p w:rsidR="002C06B7" w:rsidRDefault="002C06B7">
      <w:pPr>
        <w:tabs>
          <w:tab w:val="left" w:pos="5745"/>
        </w:tabs>
        <w:spacing w:before="0" w:after="0"/>
        <w:rPr>
          <w:rFonts w:cs="Calibri"/>
          <w:szCs w:val="22"/>
        </w:rPr>
      </w:pPr>
    </w:p>
    <w:p w:rsidR="002C06B7" w:rsidRDefault="00C33788">
      <w:pPr>
        <w:tabs>
          <w:tab w:val="left" w:pos="5745"/>
        </w:tabs>
        <w:spacing w:before="0" w:after="0"/>
        <w:rPr>
          <w:rFonts w:cs="Calibri"/>
          <w:szCs w:val="22"/>
        </w:rPr>
      </w:pPr>
      <w:r>
        <w:rPr>
          <w:rFonts w:cs="Calibri"/>
          <w:szCs w:val="22"/>
        </w:rPr>
        <w:t>Les plis parvenus hors délai sont inscrits au registre des dépôts et sont rejetés.</w:t>
      </w:r>
    </w:p>
    <w:p w:rsidR="002C06B7" w:rsidRDefault="00C33788">
      <w:pPr>
        <w:pStyle w:val="Titre3"/>
        <w:rPr>
          <w:rFonts w:ascii="Marianne" w:hAnsi="Marianne"/>
        </w:rPr>
      </w:pPr>
      <w:bookmarkStart w:id="48" w:name="_Toc198742624"/>
      <w:bookmarkStart w:id="49" w:name="_Toc202861559"/>
      <w:r>
        <w:rPr>
          <w:rFonts w:ascii="Marianne" w:hAnsi="Marianne"/>
        </w:rPr>
        <w:t>Report de la date-limite de réception des offres</w:t>
      </w:r>
      <w:bookmarkEnd w:id="48"/>
      <w:bookmarkEnd w:id="49"/>
    </w:p>
    <w:p w:rsidR="002C06B7" w:rsidRDefault="00C33788">
      <w:pPr>
        <w:rPr>
          <w:szCs w:val="22"/>
        </w:rPr>
      </w:pPr>
      <w:r>
        <w:rPr>
          <w:szCs w:val="22"/>
        </w:rPr>
        <w:t xml:space="preserve">Les opérateurs économiques peuvent demander le report de la date limite de réception des offres indiquée à l’article </w:t>
      </w:r>
      <w:r>
        <w:rPr>
          <w:szCs w:val="22"/>
        </w:rPr>
        <w:fldChar w:fldCharType="begin"/>
      </w:r>
      <w:r>
        <w:rPr>
          <w:szCs w:val="22"/>
        </w:rPr>
        <w:instrText xml:space="preserve"> REF _Ref341079480 \r \h  \* MERGEFORMAT </w:instrText>
      </w:r>
      <w:r>
        <w:rPr>
          <w:szCs w:val="22"/>
        </w:rPr>
      </w:r>
      <w:r>
        <w:rPr>
          <w:szCs w:val="22"/>
        </w:rPr>
        <w:fldChar w:fldCharType="separate"/>
      </w:r>
      <w:r>
        <w:rPr>
          <w:szCs w:val="22"/>
        </w:rPr>
        <w:t>III.2.1</w:t>
      </w:r>
      <w:r>
        <w:rPr>
          <w:szCs w:val="22"/>
        </w:rPr>
        <w:fldChar w:fldCharType="end"/>
      </w:r>
      <w:r>
        <w:rPr>
          <w:szCs w:val="22"/>
        </w:rPr>
        <w:t xml:space="preserve"> précité.</w:t>
      </w:r>
    </w:p>
    <w:p w:rsidR="002C06B7" w:rsidRDefault="00C33788">
      <w:pPr>
        <w:rPr>
          <w:szCs w:val="22"/>
        </w:rPr>
      </w:pPr>
      <w:r>
        <w:rPr>
          <w:szCs w:val="22"/>
        </w:rPr>
        <w:lastRenderedPageBreak/>
        <w:t>Dans ce cadre, la demande doit être motivée et adressée au pouvoir adjudicateur selon le moyen de correspondance mentionné à l’article I.11 du présent document.</w:t>
      </w:r>
    </w:p>
    <w:p w:rsidR="002C06B7" w:rsidRDefault="00C33788">
      <w:pPr>
        <w:rPr>
          <w:szCs w:val="22"/>
        </w:rPr>
      </w:pPr>
      <w:r>
        <w:rPr>
          <w:szCs w:val="22"/>
        </w:rPr>
        <w:t xml:space="preserve">La demande de report doit parvenir à le pouvoir adjudicateur </w:t>
      </w:r>
      <w:r>
        <w:rPr>
          <w:b/>
          <w:szCs w:val="22"/>
        </w:rPr>
        <w:t>dix jours calendaires</w:t>
      </w:r>
      <w:r>
        <w:rPr>
          <w:szCs w:val="22"/>
        </w:rPr>
        <w:t xml:space="preserve"> au plus tard avant la date limite de réception des offres.</w:t>
      </w:r>
    </w:p>
    <w:p w:rsidR="002C06B7" w:rsidRDefault="00C33788">
      <w:pPr>
        <w:rPr>
          <w:szCs w:val="22"/>
        </w:rPr>
      </w:pPr>
      <w:r>
        <w:rPr>
          <w:i/>
          <w:iCs/>
        </w:rPr>
        <w:t>NB : Il est précisé que ce délai n'inclut pas le jour de la date limite de remise des offres mais inclut le jour d'envoi de la demande de report. Ainsi, il prend fin la veille de la date limite de remise des offres à 23h59 et 59 secondes.</w:t>
      </w:r>
    </w:p>
    <w:p w:rsidR="002C06B7" w:rsidRDefault="00C33788">
      <w:pPr>
        <w:rPr>
          <w:szCs w:val="22"/>
        </w:rPr>
      </w:pPr>
      <w:r>
        <w:rPr>
          <w:szCs w:val="22"/>
        </w:rPr>
        <w:t>Le pouvoir adjudicateur est libre de donner suite ou non aux demandes qui lui parviennent.</w:t>
      </w:r>
    </w:p>
    <w:p w:rsidR="002C06B7" w:rsidRDefault="00C33788">
      <w:pPr>
        <w:rPr>
          <w:szCs w:val="22"/>
        </w:rPr>
      </w:pPr>
      <w:r>
        <w:rPr>
          <w:szCs w:val="22"/>
        </w:rPr>
        <w:t>En outre, le report de la date limite de réception des offres fait l’objet d’un avis rectificatif publié au bulletin officiel des annonces de marchés publics (BOAMP) et au journal officiel de l’Union européenne (JOUE).</w:t>
      </w:r>
    </w:p>
    <w:p w:rsidR="002C06B7" w:rsidRDefault="00C33788">
      <w:pPr>
        <w:pStyle w:val="Titre2"/>
      </w:pPr>
      <w:bookmarkStart w:id="50" w:name="_Toc198742625"/>
      <w:bookmarkStart w:id="51" w:name="_Toc202861560"/>
      <w:r>
        <w:t>Transmission des plis</w:t>
      </w:r>
      <w:bookmarkEnd w:id="50"/>
      <w:bookmarkEnd w:id="51"/>
    </w:p>
    <w:p w:rsidR="002C06B7" w:rsidRDefault="00C33788">
      <w:pPr>
        <w:pStyle w:val="Titre3"/>
        <w:rPr>
          <w:rFonts w:ascii="Marianne" w:hAnsi="Marianne"/>
        </w:rPr>
      </w:pPr>
      <w:bookmarkStart w:id="52" w:name="_Toc198742626"/>
      <w:bookmarkStart w:id="53" w:name="_Toc202861561"/>
      <w:r>
        <w:rPr>
          <w:rFonts w:ascii="Marianne" w:hAnsi="Marianne"/>
        </w:rPr>
        <w:t>Condition de transmission des plis</w:t>
      </w:r>
      <w:bookmarkEnd w:id="52"/>
      <w:bookmarkEnd w:id="53"/>
    </w:p>
    <w:p w:rsidR="002C06B7" w:rsidRDefault="00C33788">
      <w:pPr>
        <w:tabs>
          <w:tab w:val="left" w:pos="5745"/>
        </w:tabs>
        <w:spacing w:before="0" w:after="0"/>
        <w:rPr>
          <w:rFonts w:cs="Calibri"/>
          <w:szCs w:val="22"/>
        </w:rPr>
      </w:pPr>
      <w:r>
        <w:rPr>
          <w:rFonts w:cs="Calibri"/>
          <w:szCs w:val="22"/>
        </w:rPr>
        <w:t>Pour cette consultation, seuls sont autorisés les dépôts électroniques à l'adresse suivante (référence de la consultation </w:t>
      </w:r>
      <w:r>
        <w:rPr>
          <w:szCs w:val="22"/>
        </w:rPr>
        <w:t>: PRA039544</w:t>
      </w:r>
      <w:r>
        <w:rPr>
          <w:rFonts w:cs="Calibri"/>
          <w:szCs w:val="22"/>
        </w:rPr>
        <w:t>) :</w:t>
      </w:r>
    </w:p>
    <w:p w:rsidR="002C06B7" w:rsidRDefault="002C06B7">
      <w:pPr>
        <w:tabs>
          <w:tab w:val="left" w:pos="5745"/>
        </w:tabs>
        <w:spacing w:before="0" w:after="0"/>
        <w:rPr>
          <w:rFonts w:cs="Calibri"/>
          <w:szCs w:val="22"/>
        </w:rPr>
      </w:pPr>
    </w:p>
    <w:p w:rsidR="002C06B7" w:rsidRDefault="00793E48">
      <w:pPr>
        <w:tabs>
          <w:tab w:val="left" w:pos="5745"/>
        </w:tabs>
        <w:spacing w:before="0" w:after="0"/>
        <w:jc w:val="center"/>
        <w:rPr>
          <w:rFonts w:cs="Calibri"/>
          <w:szCs w:val="22"/>
        </w:rPr>
      </w:pPr>
      <w:hyperlink r:id="rId15" w:tooltip="https://www.marches-publics.gouv.fr/entreprise" w:history="1">
        <w:r w:rsidR="00C33788">
          <w:rPr>
            <w:rStyle w:val="Lienhypertexte"/>
            <w:rFonts w:cs="Calibri"/>
            <w:szCs w:val="22"/>
          </w:rPr>
          <w:t>https://www.marches-publics.gouv.fr/entreprise</w:t>
        </w:r>
      </w:hyperlink>
    </w:p>
    <w:p w:rsidR="002C06B7" w:rsidRDefault="002C06B7">
      <w:pPr>
        <w:tabs>
          <w:tab w:val="left" w:pos="5745"/>
        </w:tabs>
        <w:spacing w:before="0" w:after="0"/>
        <w:rPr>
          <w:rFonts w:cs="Calibri"/>
          <w:b/>
          <w:szCs w:val="22"/>
        </w:rPr>
      </w:pPr>
    </w:p>
    <w:p w:rsidR="002C06B7" w:rsidRDefault="00C33788">
      <w:pPr>
        <w:tabs>
          <w:tab w:val="left" w:pos="5745"/>
        </w:tabs>
        <w:spacing w:before="0" w:after="0"/>
        <w:rPr>
          <w:rFonts w:cs="Calibri"/>
          <w:b/>
          <w:szCs w:val="22"/>
        </w:rPr>
      </w:pPr>
      <w:r>
        <w:rPr>
          <w:rFonts w:cs="Calibri"/>
          <w:b/>
          <w:szCs w:val="22"/>
        </w:rPr>
        <w:t xml:space="preserve">Le pli déposé par le soumissionnaire comporte obligatoirement l’ensemble des éléments attendus au titre de </w:t>
      </w:r>
      <w:r>
        <w:rPr>
          <w:rFonts w:cs="Calibri"/>
          <w:b/>
          <w:szCs w:val="22"/>
          <w:u w:val="single"/>
        </w:rPr>
        <w:t>l’offre et de la candidature</w:t>
      </w:r>
      <w:r>
        <w:rPr>
          <w:rFonts w:cs="Calibri"/>
          <w:b/>
          <w:szCs w:val="22"/>
        </w:rPr>
        <w:t xml:space="preserve">.  </w:t>
      </w:r>
    </w:p>
    <w:p w:rsidR="002C06B7" w:rsidRDefault="002C06B7">
      <w:pPr>
        <w:tabs>
          <w:tab w:val="left" w:pos="5745"/>
        </w:tabs>
        <w:spacing w:before="0" w:after="0"/>
        <w:rPr>
          <w:rFonts w:cs="Calibri"/>
          <w:b/>
          <w:szCs w:val="22"/>
        </w:rPr>
      </w:pPr>
    </w:p>
    <w:p w:rsidR="002C06B7" w:rsidRDefault="00C33788">
      <w:pPr>
        <w:tabs>
          <w:tab w:val="left" w:pos="5745"/>
        </w:tabs>
        <w:spacing w:before="0" w:after="0"/>
        <w:rPr>
          <w:rFonts w:cs="Calibri"/>
          <w:szCs w:val="22"/>
        </w:rPr>
      </w:pPr>
      <w:r>
        <w:rPr>
          <w:rFonts w:cs="Calibri"/>
          <w:szCs w:val="22"/>
        </w:rPr>
        <w:t>Dès lors, le candidat transmet son pli en une seule fois. Si plusieurs plis sont successivement transmis par un même candidat, seul est ouverte le dernier pli reçu par l’acheteur dans le délai fixé pour la remise des offres.</w:t>
      </w:r>
    </w:p>
    <w:p w:rsidR="002C06B7" w:rsidRDefault="002C06B7">
      <w:pPr>
        <w:tabs>
          <w:tab w:val="left" w:pos="5745"/>
        </w:tabs>
        <w:spacing w:before="0" w:after="0"/>
        <w:rPr>
          <w:rFonts w:cs="Calibri"/>
          <w:szCs w:val="22"/>
        </w:rPr>
      </w:pPr>
    </w:p>
    <w:p w:rsidR="002C06B7" w:rsidRDefault="00C33788">
      <w:pPr>
        <w:tabs>
          <w:tab w:val="left" w:pos="5745"/>
        </w:tabs>
        <w:spacing w:before="0" w:after="0"/>
        <w:rPr>
          <w:rFonts w:cs="Calibri"/>
          <w:szCs w:val="22"/>
        </w:rPr>
      </w:pPr>
      <w:r>
        <w:rPr>
          <w:rFonts w:cs="Calibri"/>
          <w:szCs w:val="22"/>
        </w:rPr>
        <w:t>Si le candidat souhaite modifier ou ajouter un document à un pli déjà transmis, il convient de transmettre à nouveau l’ensemble des éléments de la candidature et de l’offre dans un nouveau pli.</w:t>
      </w:r>
    </w:p>
    <w:p w:rsidR="002C06B7" w:rsidRDefault="002C06B7">
      <w:pPr>
        <w:tabs>
          <w:tab w:val="left" w:pos="5745"/>
        </w:tabs>
        <w:spacing w:before="0" w:after="0"/>
        <w:rPr>
          <w:rFonts w:cs="Calibri"/>
          <w:szCs w:val="22"/>
        </w:rPr>
      </w:pPr>
    </w:p>
    <w:p w:rsidR="002C06B7" w:rsidRDefault="00C33788">
      <w:pPr>
        <w:tabs>
          <w:tab w:val="left" w:pos="5745"/>
        </w:tabs>
        <w:spacing w:before="0" w:after="0"/>
        <w:rPr>
          <w:rFonts w:cs="Calibri"/>
          <w:szCs w:val="22"/>
        </w:rPr>
      </w:pPr>
      <w:r>
        <w:rPr>
          <w:rFonts w:cs="Calibri"/>
          <w:szCs w:val="22"/>
        </w:rPr>
        <w:t>En cas d'envois successifs seul le dernier envoi réceptionné avant la date limite de remise des plis est admis. Ce dernier pli doit contenir l’ensemble des pièces demandées au titre de la candidature et de l’offre. Les plis antérieurs seront rejetés sans être examinés.</w:t>
      </w:r>
    </w:p>
    <w:p w:rsidR="002C06B7" w:rsidRDefault="002C06B7">
      <w:pPr>
        <w:tabs>
          <w:tab w:val="left" w:pos="5745"/>
        </w:tabs>
        <w:spacing w:before="0" w:after="0"/>
        <w:rPr>
          <w:rFonts w:cs="Calibri"/>
          <w:szCs w:val="22"/>
        </w:rPr>
      </w:pPr>
    </w:p>
    <w:p w:rsidR="002C06B7" w:rsidRDefault="00C33788">
      <w:pPr>
        <w:tabs>
          <w:tab w:val="left" w:pos="5745"/>
        </w:tabs>
        <w:spacing w:before="0" w:after="0"/>
        <w:rPr>
          <w:rFonts w:cs="Calibri"/>
          <w:szCs w:val="22"/>
        </w:rPr>
      </w:pPr>
      <w:r>
        <w:rPr>
          <w:rFonts w:cs="Calibri"/>
          <w:szCs w:val="22"/>
        </w:rPr>
        <w:t>Aucun envoi papier, par télécopie ou courriel ne sera accepté.</w:t>
      </w:r>
    </w:p>
    <w:p w:rsidR="002C06B7" w:rsidRDefault="002C06B7">
      <w:pPr>
        <w:tabs>
          <w:tab w:val="left" w:pos="5745"/>
        </w:tabs>
        <w:spacing w:before="0" w:after="0"/>
        <w:rPr>
          <w:rFonts w:cs="Calibri"/>
          <w:szCs w:val="22"/>
        </w:rPr>
      </w:pPr>
    </w:p>
    <w:p w:rsidR="002C06B7" w:rsidRDefault="00C33788">
      <w:pPr>
        <w:tabs>
          <w:tab w:val="left" w:pos="5745"/>
        </w:tabs>
        <w:spacing w:before="0" w:after="0"/>
        <w:rPr>
          <w:rFonts w:cs="Calibri"/>
          <w:szCs w:val="22"/>
        </w:rPr>
      </w:pPr>
      <w:r>
        <w:rPr>
          <w:rFonts w:cs="Calibri"/>
          <w:szCs w:val="22"/>
        </w:rPr>
        <w:t>Le dépôt électronique des plis s'effectue exclusivement sur la plate-forme "PLACE" :</w:t>
      </w:r>
    </w:p>
    <w:p w:rsidR="002C06B7" w:rsidRDefault="002C06B7">
      <w:pPr>
        <w:tabs>
          <w:tab w:val="left" w:pos="5745"/>
        </w:tabs>
        <w:spacing w:before="0" w:after="0"/>
        <w:rPr>
          <w:rFonts w:cs="Calibri"/>
          <w:szCs w:val="22"/>
        </w:rPr>
      </w:pPr>
    </w:p>
    <w:p w:rsidR="002C06B7" w:rsidRDefault="00793E48">
      <w:pPr>
        <w:tabs>
          <w:tab w:val="left" w:pos="5745"/>
        </w:tabs>
        <w:spacing w:before="0" w:after="0"/>
        <w:rPr>
          <w:rFonts w:cs="Calibri"/>
          <w:szCs w:val="22"/>
        </w:rPr>
      </w:pPr>
      <w:hyperlink r:id="rId16" w:tooltip="https://www.marches-publics.gouv.fr/entreprise" w:history="1">
        <w:r w:rsidR="00C33788">
          <w:rPr>
            <w:rStyle w:val="Lienhypertexte"/>
            <w:rFonts w:cs="Calibri"/>
            <w:szCs w:val="22"/>
          </w:rPr>
          <w:t>https://www.marches-publics.gouv.fr/entreprise</w:t>
        </w:r>
      </w:hyperlink>
    </w:p>
    <w:p w:rsidR="002C06B7" w:rsidRDefault="002C06B7">
      <w:pPr>
        <w:tabs>
          <w:tab w:val="left" w:pos="5745"/>
        </w:tabs>
        <w:spacing w:before="0" w:after="0"/>
        <w:rPr>
          <w:rFonts w:cs="Calibri"/>
          <w:szCs w:val="22"/>
        </w:rPr>
      </w:pPr>
    </w:p>
    <w:p w:rsidR="002C06B7" w:rsidRDefault="00C33788">
      <w:pPr>
        <w:tabs>
          <w:tab w:val="left" w:pos="5745"/>
        </w:tabs>
        <w:spacing w:before="0" w:after="0"/>
        <w:rPr>
          <w:rFonts w:cs="Calibri"/>
          <w:szCs w:val="22"/>
        </w:rPr>
      </w:pPr>
      <w:r>
        <w:rPr>
          <w:rFonts w:cs="Calibri"/>
          <w:szCs w:val="22"/>
        </w:rPr>
        <w:t>Les frais d'accès au réseau et de recours à la signature électronique sont à la charge de chaque candidat/soumissionnaire.</w:t>
      </w:r>
    </w:p>
    <w:p w:rsidR="002C06B7" w:rsidRDefault="002C06B7">
      <w:pPr>
        <w:tabs>
          <w:tab w:val="left" w:pos="5745"/>
        </w:tabs>
        <w:spacing w:before="0" w:after="0"/>
        <w:rPr>
          <w:rFonts w:cs="Calibri"/>
          <w:szCs w:val="22"/>
        </w:rPr>
      </w:pPr>
    </w:p>
    <w:p w:rsidR="002C06B7" w:rsidRDefault="00C33788">
      <w:pPr>
        <w:tabs>
          <w:tab w:val="left" w:pos="5745"/>
        </w:tabs>
        <w:spacing w:before="0" w:after="0"/>
        <w:rPr>
          <w:rFonts w:cs="Calibri"/>
          <w:szCs w:val="22"/>
        </w:rPr>
      </w:pPr>
      <w:r>
        <w:rPr>
          <w:rFonts w:cs="Calibri"/>
          <w:szCs w:val="22"/>
        </w:rPr>
        <w:t>Chaque lot doit obligatoirement faire l'objet d'un dépôt électronique. Il est toutefois possible de faire un dépôt électronique unique pour plusieurs lots à condition que l'identification des lots auxquels il est répondu soit possible et sans ambigüité.</w:t>
      </w:r>
    </w:p>
    <w:p w:rsidR="002C06B7" w:rsidRDefault="002C06B7">
      <w:pPr>
        <w:tabs>
          <w:tab w:val="left" w:pos="5745"/>
        </w:tabs>
        <w:spacing w:before="0" w:after="0"/>
        <w:rPr>
          <w:rFonts w:cs="Calibri"/>
          <w:szCs w:val="22"/>
        </w:rPr>
      </w:pPr>
    </w:p>
    <w:p w:rsidR="002C06B7" w:rsidRDefault="00C33788">
      <w:pPr>
        <w:spacing w:before="0" w:after="0"/>
        <w:rPr>
          <w:rFonts w:cs="Calibri"/>
          <w:szCs w:val="22"/>
        </w:rPr>
      </w:pPr>
      <w:r>
        <w:rPr>
          <w:rFonts w:cs="Calibri"/>
          <w:szCs w:val="22"/>
        </w:rPr>
        <w:t>Les candidats ou les soumissionnaires trouveront dans la rubrique « aide » de PLACE plusieurs documents et informations :</w:t>
      </w:r>
    </w:p>
    <w:p w:rsidR="002C06B7" w:rsidRDefault="002C06B7">
      <w:pPr>
        <w:tabs>
          <w:tab w:val="left" w:pos="5745"/>
        </w:tabs>
        <w:spacing w:before="0" w:after="0"/>
        <w:rPr>
          <w:rFonts w:cs="Calibri"/>
          <w:szCs w:val="22"/>
        </w:rPr>
      </w:pPr>
    </w:p>
    <w:p w:rsidR="002C06B7" w:rsidRDefault="00C33788">
      <w:pPr>
        <w:numPr>
          <w:ilvl w:val="0"/>
          <w:numId w:val="30"/>
        </w:numPr>
        <w:tabs>
          <w:tab w:val="left" w:pos="709"/>
        </w:tabs>
        <w:spacing w:before="0" w:after="0"/>
        <w:rPr>
          <w:rFonts w:cs="Calibri"/>
          <w:szCs w:val="22"/>
        </w:rPr>
      </w:pPr>
      <w:r>
        <w:rPr>
          <w:rFonts w:cs="Calibri"/>
          <w:szCs w:val="22"/>
        </w:rPr>
        <w:t>Guide utilisateur téléchargeable, précisant les conditions d'utilisations de la plate-forme des achats de l'État, notamment les prérequis techniques et certificats électroniques ;</w:t>
      </w:r>
    </w:p>
    <w:p w:rsidR="002C06B7" w:rsidRDefault="00C33788">
      <w:pPr>
        <w:numPr>
          <w:ilvl w:val="0"/>
          <w:numId w:val="30"/>
        </w:numPr>
        <w:tabs>
          <w:tab w:val="left" w:pos="709"/>
        </w:tabs>
        <w:spacing w:before="0" w:after="0"/>
        <w:rPr>
          <w:rFonts w:cs="Calibri"/>
          <w:szCs w:val="22"/>
        </w:rPr>
      </w:pPr>
      <w:r>
        <w:rPr>
          <w:rFonts w:cs="Calibri"/>
          <w:szCs w:val="22"/>
        </w:rPr>
        <w:t>Mode opératoire DUME pour les opérateurs ;</w:t>
      </w:r>
    </w:p>
    <w:p w:rsidR="002C06B7" w:rsidRDefault="00C33788">
      <w:pPr>
        <w:numPr>
          <w:ilvl w:val="0"/>
          <w:numId w:val="30"/>
        </w:numPr>
        <w:tabs>
          <w:tab w:val="left" w:pos="709"/>
        </w:tabs>
        <w:spacing w:before="0" w:after="0"/>
        <w:rPr>
          <w:rFonts w:cs="Calibri"/>
          <w:szCs w:val="22"/>
        </w:rPr>
      </w:pPr>
      <w:r>
        <w:rPr>
          <w:rFonts w:cs="Calibri"/>
          <w:szCs w:val="22"/>
        </w:rPr>
        <w:t>Assistance téléphonique ;</w:t>
      </w:r>
    </w:p>
    <w:p w:rsidR="002C06B7" w:rsidRDefault="00C33788">
      <w:pPr>
        <w:numPr>
          <w:ilvl w:val="0"/>
          <w:numId w:val="30"/>
        </w:numPr>
        <w:tabs>
          <w:tab w:val="left" w:pos="709"/>
        </w:tabs>
        <w:spacing w:before="0" w:after="0"/>
        <w:rPr>
          <w:rFonts w:cs="Calibri"/>
          <w:szCs w:val="22"/>
        </w:rPr>
      </w:pPr>
      <w:r>
        <w:rPr>
          <w:rFonts w:cs="Calibri"/>
          <w:szCs w:val="22"/>
        </w:rPr>
        <w:t>Module d'autoformation à destination des opérateurs ;</w:t>
      </w:r>
    </w:p>
    <w:p w:rsidR="002C06B7" w:rsidRDefault="00C33788">
      <w:pPr>
        <w:numPr>
          <w:ilvl w:val="0"/>
          <w:numId w:val="30"/>
        </w:numPr>
        <w:tabs>
          <w:tab w:val="left" w:pos="709"/>
        </w:tabs>
        <w:spacing w:before="0" w:after="0"/>
        <w:rPr>
          <w:rFonts w:cs="Calibri"/>
          <w:szCs w:val="22"/>
        </w:rPr>
      </w:pPr>
      <w:r>
        <w:rPr>
          <w:rFonts w:cs="Calibri"/>
          <w:bCs/>
          <w:szCs w:val="22"/>
        </w:rPr>
        <w:t>Foire aux questions ;</w:t>
      </w:r>
    </w:p>
    <w:p w:rsidR="002C06B7" w:rsidRDefault="00C33788">
      <w:pPr>
        <w:numPr>
          <w:ilvl w:val="0"/>
          <w:numId w:val="30"/>
        </w:numPr>
        <w:tabs>
          <w:tab w:val="left" w:pos="709"/>
        </w:tabs>
        <w:spacing w:before="0" w:after="0"/>
        <w:rPr>
          <w:rFonts w:cs="Calibri"/>
          <w:szCs w:val="22"/>
        </w:rPr>
      </w:pPr>
      <w:r>
        <w:rPr>
          <w:rFonts w:cs="Calibri"/>
          <w:bCs/>
          <w:szCs w:val="22"/>
        </w:rPr>
        <w:t xml:space="preserve">Lien vers des documents de référence ; </w:t>
      </w:r>
    </w:p>
    <w:p w:rsidR="002C06B7" w:rsidRDefault="00C33788">
      <w:pPr>
        <w:numPr>
          <w:ilvl w:val="0"/>
          <w:numId w:val="30"/>
        </w:numPr>
        <w:tabs>
          <w:tab w:val="left" w:pos="709"/>
        </w:tabs>
        <w:spacing w:before="0" w:after="0"/>
        <w:rPr>
          <w:rFonts w:cs="Calibri"/>
          <w:szCs w:val="22"/>
        </w:rPr>
      </w:pPr>
      <w:r>
        <w:rPr>
          <w:rFonts w:cs="Calibri"/>
          <w:bCs/>
          <w:szCs w:val="22"/>
        </w:rPr>
        <w:t>Outils informatiques.</w:t>
      </w:r>
    </w:p>
    <w:p w:rsidR="002C06B7" w:rsidRDefault="002C06B7">
      <w:pPr>
        <w:tabs>
          <w:tab w:val="left" w:pos="5745"/>
        </w:tabs>
        <w:spacing w:before="0" w:after="0"/>
        <w:rPr>
          <w:rFonts w:cs="Calibri"/>
          <w:bCs/>
          <w:szCs w:val="22"/>
        </w:rPr>
      </w:pPr>
    </w:p>
    <w:p w:rsidR="002C06B7" w:rsidRDefault="00C33788">
      <w:pPr>
        <w:tabs>
          <w:tab w:val="left" w:pos="5745"/>
        </w:tabs>
        <w:spacing w:before="0" w:after="0"/>
        <w:rPr>
          <w:rFonts w:cs="Calibri"/>
          <w:bCs/>
          <w:szCs w:val="22"/>
        </w:rPr>
      </w:pPr>
      <w:r>
        <w:rPr>
          <w:rFonts w:cs="Calibri"/>
          <w:bCs/>
          <w:szCs w:val="22"/>
        </w:rPr>
        <w:t>Les candidats sont invités à tester la configuration de leur poste de travail et répondre à une consultation test, afin de s'assurer du bon fonctionnement de l'environnement informatique.</w:t>
      </w:r>
    </w:p>
    <w:p w:rsidR="002C06B7" w:rsidRDefault="002C06B7">
      <w:pPr>
        <w:tabs>
          <w:tab w:val="left" w:pos="5745"/>
        </w:tabs>
        <w:spacing w:before="0" w:after="0"/>
        <w:rPr>
          <w:rFonts w:cs="Calibri"/>
          <w:bCs/>
          <w:szCs w:val="22"/>
        </w:rPr>
      </w:pPr>
    </w:p>
    <w:p w:rsidR="002C06B7" w:rsidRDefault="00C33788">
      <w:pPr>
        <w:tabs>
          <w:tab w:val="left" w:pos="5745"/>
        </w:tabs>
        <w:spacing w:before="0" w:after="0"/>
        <w:rPr>
          <w:rFonts w:cs="Calibri"/>
          <w:bCs/>
          <w:szCs w:val="22"/>
        </w:rPr>
      </w:pPr>
      <w:r>
        <w:rPr>
          <w:rFonts w:cs="Calibri"/>
          <w:bCs/>
          <w:szCs w:val="22"/>
        </w:rPr>
        <w:t>Ils doivent également prévoir le temps nécessaire pour que le dépôt soit effectif dans le délai fixé par l'acheteur, notamment lorsque les fichiers sont volumineux et/ou si le réseau à un faible débit.</w:t>
      </w:r>
    </w:p>
    <w:p w:rsidR="002C06B7" w:rsidRDefault="002C06B7">
      <w:pPr>
        <w:tabs>
          <w:tab w:val="left" w:pos="5745"/>
        </w:tabs>
        <w:spacing w:before="0" w:after="0"/>
        <w:rPr>
          <w:rFonts w:cs="Calibri"/>
          <w:bCs/>
          <w:szCs w:val="22"/>
        </w:rPr>
      </w:pPr>
    </w:p>
    <w:p w:rsidR="002C06B7" w:rsidRDefault="00C33788">
      <w:pPr>
        <w:tabs>
          <w:tab w:val="left" w:pos="5745"/>
        </w:tabs>
        <w:spacing w:before="0" w:after="0"/>
        <w:rPr>
          <w:rFonts w:cs="Calibri"/>
          <w:b/>
          <w:bCs/>
          <w:szCs w:val="22"/>
        </w:rPr>
      </w:pPr>
      <w:r>
        <w:rPr>
          <w:rFonts w:cs="Calibri"/>
          <w:b/>
          <w:bCs/>
          <w:szCs w:val="22"/>
        </w:rPr>
        <w:t>Attention, les plis dont le téléchargement a commencé avant la date et l'heure limite mais s'est achevé hors délai sont éliminés par l'acheteur.</w:t>
      </w:r>
    </w:p>
    <w:p w:rsidR="002C06B7" w:rsidRDefault="002C06B7">
      <w:pPr>
        <w:tabs>
          <w:tab w:val="left" w:pos="5745"/>
        </w:tabs>
        <w:spacing w:before="0" w:after="0"/>
        <w:rPr>
          <w:rFonts w:cs="Calibri"/>
          <w:bCs/>
          <w:szCs w:val="22"/>
        </w:rPr>
      </w:pPr>
    </w:p>
    <w:p w:rsidR="002C06B7" w:rsidRDefault="00C33788">
      <w:pPr>
        <w:tabs>
          <w:tab w:val="left" w:pos="5745"/>
        </w:tabs>
        <w:spacing w:before="0" w:after="0"/>
        <w:rPr>
          <w:rFonts w:cs="Calibri"/>
          <w:bCs/>
          <w:szCs w:val="22"/>
        </w:rPr>
      </w:pPr>
      <w:r>
        <w:rPr>
          <w:rFonts w:cs="Calibri"/>
          <w:bCs/>
          <w:szCs w:val="22"/>
        </w:rPr>
        <w:t>Par ailleurs, la plate-forme déconnecte automatiquement l'utilisateur en cas d'inactivité supérieure à trente minutes.</w:t>
      </w:r>
    </w:p>
    <w:p w:rsidR="002C06B7" w:rsidRDefault="002C06B7">
      <w:pPr>
        <w:tabs>
          <w:tab w:val="left" w:pos="5745"/>
        </w:tabs>
        <w:spacing w:before="0" w:after="0"/>
        <w:rPr>
          <w:rFonts w:cs="Calibri"/>
          <w:bCs/>
          <w:szCs w:val="22"/>
        </w:rPr>
      </w:pPr>
    </w:p>
    <w:p w:rsidR="002C06B7" w:rsidRDefault="00C33788">
      <w:pPr>
        <w:tabs>
          <w:tab w:val="left" w:pos="5745"/>
        </w:tabs>
        <w:spacing w:before="0" w:after="0"/>
        <w:rPr>
          <w:rFonts w:cs="Calibri"/>
          <w:bCs/>
          <w:szCs w:val="22"/>
        </w:rPr>
      </w:pPr>
      <w:r>
        <w:rPr>
          <w:rFonts w:cs="Calibri"/>
          <w:bCs/>
          <w:szCs w:val="22"/>
        </w:rPr>
        <w:t>Après le dépôt du pli sur la plate-forme, un message indique que l'opération de dépôt du pli a été réalisée avec succès, puis un accusé de réception est adressé au candidat/soumissionnaire par courrier électronique donnant à son dépôt une date et une heure certaines, la date et l'heure de fin de réception faisant référence.</w:t>
      </w:r>
    </w:p>
    <w:p w:rsidR="002C06B7" w:rsidRDefault="002C06B7">
      <w:pPr>
        <w:tabs>
          <w:tab w:val="left" w:pos="5745"/>
        </w:tabs>
        <w:spacing w:before="0" w:after="0"/>
        <w:rPr>
          <w:rFonts w:cs="Calibri"/>
          <w:bCs/>
          <w:szCs w:val="22"/>
        </w:rPr>
      </w:pPr>
    </w:p>
    <w:p w:rsidR="002C06B7" w:rsidRDefault="00C33788">
      <w:pPr>
        <w:tabs>
          <w:tab w:val="left" w:pos="5745"/>
        </w:tabs>
        <w:spacing w:before="0" w:after="0"/>
        <w:rPr>
          <w:rFonts w:cs="Calibri"/>
          <w:bCs/>
          <w:szCs w:val="22"/>
        </w:rPr>
      </w:pPr>
      <w:r>
        <w:rPr>
          <w:rFonts w:cs="Calibri"/>
          <w:bCs/>
          <w:szCs w:val="22"/>
        </w:rPr>
        <w:t>L'absence de message de confirmation de bonne réception ou d'accusé de réception électronique signifie que la réponse n'est pas parvenue à l'acheteur.</w:t>
      </w:r>
    </w:p>
    <w:p w:rsidR="002C06B7" w:rsidRDefault="002C06B7">
      <w:pPr>
        <w:tabs>
          <w:tab w:val="left" w:pos="5745"/>
        </w:tabs>
        <w:spacing w:before="0" w:after="0"/>
        <w:rPr>
          <w:rFonts w:cs="Calibri"/>
          <w:bCs/>
          <w:szCs w:val="22"/>
        </w:rPr>
      </w:pPr>
    </w:p>
    <w:p w:rsidR="002C06B7" w:rsidRDefault="00C33788">
      <w:pPr>
        <w:tabs>
          <w:tab w:val="left" w:pos="5745"/>
        </w:tabs>
        <w:spacing w:before="0" w:after="0"/>
        <w:rPr>
          <w:rFonts w:cs="Calibri"/>
          <w:bCs/>
          <w:szCs w:val="22"/>
        </w:rPr>
      </w:pPr>
      <w:r>
        <w:rPr>
          <w:rFonts w:cs="Calibri"/>
          <w:bCs/>
          <w:szCs w:val="22"/>
        </w:rPr>
        <w:t>L'opérateur économique s'assure que les messages envoyés par la Plate-forme des achats de l'État (PLACE) notamment, nepasrepondre@marches-publics.gouv.fr, ne sont pas traités comme des courriels indésirables.</w:t>
      </w:r>
    </w:p>
    <w:p w:rsidR="002C06B7" w:rsidRDefault="002C06B7">
      <w:pPr>
        <w:tabs>
          <w:tab w:val="left" w:pos="5745"/>
        </w:tabs>
        <w:spacing w:before="0" w:after="0"/>
        <w:rPr>
          <w:rFonts w:cs="Calibri"/>
          <w:bCs/>
          <w:szCs w:val="22"/>
        </w:rPr>
      </w:pPr>
    </w:p>
    <w:p w:rsidR="002C06B7" w:rsidRDefault="00C33788">
      <w:pPr>
        <w:tabs>
          <w:tab w:val="left" w:pos="5745"/>
        </w:tabs>
        <w:spacing w:before="0" w:after="0"/>
        <w:rPr>
          <w:rFonts w:cs="Calibri"/>
          <w:bCs/>
          <w:szCs w:val="22"/>
          <w:u w:val="single"/>
        </w:rPr>
      </w:pPr>
      <w:r>
        <w:rPr>
          <w:rFonts w:cs="Calibri"/>
          <w:bCs/>
          <w:szCs w:val="22"/>
          <w:u w:val="single"/>
        </w:rPr>
        <w:t>Présentation des dossiers et format des fichiers</w:t>
      </w:r>
      <w:r>
        <w:rPr>
          <w:rFonts w:cs="Calibri"/>
          <w:bCs/>
          <w:szCs w:val="22"/>
        </w:rPr>
        <w:t> :</w:t>
      </w:r>
    </w:p>
    <w:p w:rsidR="002C06B7" w:rsidRDefault="00C33788">
      <w:pPr>
        <w:tabs>
          <w:tab w:val="left" w:pos="5745"/>
        </w:tabs>
        <w:spacing w:before="0" w:after="0"/>
        <w:rPr>
          <w:rFonts w:cs="Calibri"/>
          <w:bCs/>
          <w:szCs w:val="22"/>
        </w:rPr>
      </w:pPr>
      <w:r>
        <w:rPr>
          <w:rFonts w:cs="Calibri"/>
          <w:bCs/>
          <w:szCs w:val="22"/>
        </w:rPr>
        <w:t>Les formats acceptés sont les suivants : .</w:t>
      </w:r>
      <w:proofErr w:type="spellStart"/>
      <w:r>
        <w:rPr>
          <w:rFonts w:cs="Calibri"/>
          <w:bCs/>
          <w:szCs w:val="22"/>
        </w:rPr>
        <w:t>pdf</w:t>
      </w:r>
      <w:proofErr w:type="spellEnd"/>
      <w:r>
        <w:rPr>
          <w:rFonts w:cs="Calibri"/>
          <w:bCs/>
          <w:szCs w:val="22"/>
        </w:rPr>
        <w:t>, .doc, .</w:t>
      </w:r>
      <w:proofErr w:type="spellStart"/>
      <w:r>
        <w:rPr>
          <w:rFonts w:cs="Calibri"/>
          <w:bCs/>
          <w:szCs w:val="22"/>
        </w:rPr>
        <w:t>xls</w:t>
      </w:r>
      <w:proofErr w:type="spellEnd"/>
      <w:r>
        <w:rPr>
          <w:rFonts w:cs="Calibri"/>
          <w:bCs/>
          <w:szCs w:val="22"/>
        </w:rPr>
        <w:t>, .</w:t>
      </w:r>
      <w:proofErr w:type="spellStart"/>
      <w:r>
        <w:rPr>
          <w:rFonts w:cs="Calibri"/>
          <w:bCs/>
          <w:szCs w:val="22"/>
        </w:rPr>
        <w:t>ppt</w:t>
      </w:r>
      <w:proofErr w:type="spellEnd"/>
      <w:proofErr w:type="gramStart"/>
      <w:r>
        <w:rPr>
          <w:rFonts w:cs="Calibri"/>
          <w:bCs/>
          <w:szCs w:val="22"/>
        </w:rPr>
        <w:t>, .</w:t>
      </w:r>
      <w:proofErr w:type="spellStart"/>
      <w:r>
        <w:rPr>
          <w:rFonts w:cs="Calibri"/>
          <w:bCs/>
          <w:szCs w:val="22"/>
        </w:rPr>
        <w:t>odt</w:t>
      </w:r>
      <w:proofErr w:type="spellEnd"/>
      <w:proofErr w:type="gramEnd"/>
      <w:r>
        <w:rPr>
          <w:rFonts w:cs="Calibri"/>
          <w:bCs/>
          <w:szCs w:val="22"/>
        </w:rPr>
        <w:t xml:space="preserve"> , .</w:t>
      </w:r>
      <w:proofErr w:type="spellStart"/>
      <w:r>
        <w:rPr>
          <w:rFonts w:cs="Calibri"/>
          <w:bCs/>
          <w:szCs w:val="22"/>
        </w:rPr>
        <w:t>ods</w:t>
      </w:r>
      <w:proofErr w:type="spellEnd"/>
      <w:r>
        <w:rPr>
          <w:rFonts w:cs="Calibri"/>
          <w:bCs/>
          <w:szCs w:val="22"/>
        </w:rPr>
        <w:t>, .</w:t>
      </w:r>
      <w:proofErr w:type="spellStart"/>
      <w:r>
        <w:rPr>
          <w:rFonts w:cs="Calibri"/>
          <w:bCs/>
          <w:szCs w:val="22"/>
        </w:rPr>
        <w:t>odp</w:t>
      </w:r>
      <w:proofErr w:type="spellEnd"/>
      <w:r>
        <w:rPr>
          <w:rFonts w:cs="Calibri"/>
          <w:bCs/>
          <w:szCs w:val="22"/>
        </w:rPr>
        <w:t>, ainsi que les formats images .</w:t>
      </w:r>
      <w:proofErr w:type="spellStart"/>
      <w:r>
        <w:rPr>
          <w:rFonts w:cs="Calibri"/>
          <w:bCs/>
          <w:szCs w:val="22"/>
        </w:rPr>
        <w:t>jpg</w:t>
      </w:r>
      <w:proofErr w:type="spellEnd"/>
      <w:r>
        <w:rPr>
          <w:rFonts w:cs="Calibri"/>
          <w:bCs/>
          <w:szCs w:val="22"/>
        </w:rPr>
        <w:t>, .</w:t>
      </w:r>
      <w:proofErr w:type="spellStart"/>
      <w:r>
        <w:rPr>
          <w:rFonts w:cs="Calibri"/>
          <w:bCs/>
          <w:szCs w:val="22"/>
        </w:rPr>
        <w:t>png</w:t>
      </w:r>
      <w:proofErr w:type="spellEnd"/>
      <w:r>
        <w:rPr>
          <w:rFonts w:cs="Calibri"/>
          <w:bCs/>
          <w:szCs w:val="22"/>
        </w:rPr>
        <w:t xml:space="preserve"> et les documents au format .html.</w:t>
      </w:r>
    </w:p>
    <w:p w:rsidR="002C06B7" w:rsidRDefault="002C06B7">
      <w:pPr>
        <w:tabs>
          <w:tab w:val="left" w:pos="5745"/>
        </w:tabs>
        <w:spacing w:before="0" w:after="0"/>
        <w:rPr>
          <w:rFonts w:cs="Calibri"/>
          <w:bCs/>
          <w:szCs w:val="22"/>
        </w:rPr>
      </w:pPr>
    </w:p>
    <w:p w:rsidR="002C06B7" w:rsidRDefault="00C33788">
      <w:pPr>
        <w:tabs>
          <w:tab w:val="left" w:pos="5745"/>
        </w:tabs>
        <w:spacing w:before="0" w:after="0"/>
        <w:rPr>
          <w:rFonts w:cs="Calibri"/>
          <w:bCs/>
          <w:szCs w:val="22"/>
        </w:rPr>
      </w:pPr>
      <w:r>
        <w:rPr>
          <w:rFonts w:cs="Calibri"/>
          <w:bCs/>
          <w:szCs w:val="22"/>
        </w:rPr>
        <w:t>Le candidat ne doit pas utiliser de code actif dans sa réponse, tels que :</w:t>
      </w:r>
    </w:p>
    <w:p w:rsidR="002C06B7" w:rsidRDefault="00C33788">
      <w:pPr>
        <w:tabs>
          <w:tab w:val="left" w:pos="5745"/>
        </w:tabs>
        <w:spacing w:before="0" w:after="0"/>
        <w:rPr>
          <w:rFonts w:cs="Calibri"/>
          <w:bCs/>
          <w:szCs w:val="22"/>
        </w:rPr>
      </w:pPr>
      <w:r>
        <w:rPr>
          <w:rFonts w:cs="Calibri"/>
          <w:bCs/>
          <w:szCs w:val="22"/>
        </w:rPr>
        <w:t>- Formats exécutables, notamment : .</w:t>
      </w:r>
      <w:proofErr w:type="spellStart"/>
      <w:r>
        <w:rPr>
          <w:rFonts w:cs="Calibri"/>
          <w:bCs/>
          <w:szCs w:val="22"/>
        </w:rPr>
        <w:t>exe</w:t>
      </w:r>
      <w:proofErr w:type="spellEnd"/>
      <w:r>
        <w:rPr>
          <w:rFonts w:cs="Calibri"/>
          <w:bCs/>
          <w:szCs w:val="22"/>
        </w:rPr>
        <w:t>, .com, .</w:t>
      </w:r>
      <w:proofErr w:type="spellStart"/>
      <w:r>
        <w:rPr>
          <w:rFonts w:cs="Calibri"/>
          <w:bCs/>
          <w:szCs w:val="22"/>
        </w:rPr>
        <w:t>scr</w:t>
      </w:r>
      <w:proofErr w:type="spellEnd"/>
    </w:p>
    <w:p w:rsidR="002C06B7" w:rsidRDefault="00C33788">
      <w:pPr>
        <w:tabs>
          <w:tab w:val="left" w:pos="5745"/>
        </w:tabs>
        <w:spacing w:before="0" w:after="0"/>
        <w:rPr>
          <w:rFonts w:cs="Calibri"/>
          <w:bCs/>
          <w:szCs w:val="22"/>
        </w:rPr>
      </w:pPr>
      <w:r>
        <w:rPr>
          <w:rFonts w:cs="Calibri"/>
          <w:bCs/>
          <w:szCs w:val="22"/>
        </w:rPr>
        <w:t>- Macros ;</w:t>
      </w:r>
    </w:p>
    <w:p w:rsidR="002C06B7" w:rsidRDefault="00C33788">
      <w:pPr>
        <w:tabs>
          <w:tab w:val="left" w:pos="5745"/>
        </w:tabs>
        <w:spacing w:before="0" w:after="0"/>
        <w:rPr>
          <w:rFonts w:cs="Calibri"/>
          <w:bCs/>
          <w:szCs w:val="22"/>
        </w:rPr>
      </w:pPr>
      <w:r>
        <w:rPr>
          <w:rFonts w:cs="Calibri"/>
          <w:bCs/>
          <w:szCs w:val="22"/>
        </w:rPr>
        <w:t>- ActiveX, Applets, scripts</w:t>
      </w:r>
    </w:p>
    <w:p w:rsidR="002C06B7" w:rsidRDefault="00C33788">
      <w:pPr>
        <w:pStyle w:val="Titre3"/>
        <w:rPr>
          <w:rFonts w:ascii="Marianne" w:hAnsi="Marianne"/>
        </w:rPr>
      </w:pPr>
      <w:bookmarkStart w:id="54" w:name="_Toc154500264"/>
      <w:bookmarkStart w:id="55" w:name="_Toc198742627"/>
      <w:bookmarkStart w:id="56" w:name="_Toc202861562"/>
      <w:r>
        <w:rPr>
          <w:rFonts w:ascii="Marianne" w:hAnsi="Marianne"/>
        </w:rPr>
        <w:lastRenderedPageBreak/>
        <w:t>Transmission de la copie de sauvegarde</w:t>
      </w:r>
      <w:bookmarkEnd w:id="54"/>
      <w:bookmarkEnd w:id="55"/>
      <w:bookmarkEnd w:id="56"/>
      <w:r>
        <w:rPr>
          <w:rFonts w:ascii="Marianne" w:hAnsi="Marianne"/>
        </w:rPr>
        <w:t xml:space="preserve"> </w:t>
      </w:r>
    </w:p>
    <w:p w:rsidR="002C06B7" w:rsidRDefault="002C06B7">
      <w:pPr>
        <w:spacing w:before="0" w:after="0"/>
        <w:rPr>
          <w:rFonts w:cs="Calibri"/>
          <w:szCs w:val="22"/>
        </w:rPr>
      </w:pPr>
    </w:p>
    <w:p w:rsidR="002C06B7" w:rsidRDefault="00C33788">
      <w:pPr>
        <w:spacing w:before="0" w:after="0"/>
        <w:rPr>
          <w:rFonts w:cs="Calibri"/>
          <w:szCs w:val="22"/>
        </w:rPr>
      </w:pPr>
      <w:r>
        <w:rPr>
          <w:rFonts w:cs="Calibri"/>
          <w:szCs w:val="22"/>
        </w:rPr>
        <w:t>Sous peine d’irrecevabilité, les copies de sauvegarde devront être reçues par le pouvoir adjudicateur avant la date limite de réception des offres.</w:t>
      </w:r>
    </w:p>
    <w:p w:rsidR="002C06B7" w:rsidRDefault="002C06B7">
      <w:pPr>
        <w:spacing w:before="0" w:after="0"/>
        <w:rPr>
          <w:rFonts w:cs="Calibri"/>
          <w:szCs w:val="22"/>
        </w:rPr>
      </w:pPr>
    </w:p>
    <w:p w:rsidR="002C06B7" w:rsidRDefault="00C33788">
      <w:pPr>
        <w:spacing w:before="0" w:after="0"/>
        <w:rPr>
          <w:rFonts w:cs="Calibri"/>
          <w:szCs w:val="22"/>
        </w:rPr>
      </w:pPr>
      <w:r>
        <w:rPr>
          <w:rFonts w:cs="Calibri"/>
          <w:szCs w:val="22"/>
        </w:rPr>
        <w:t>La "copie de sauvegarde" parvenus hors délai sont inscrits au registre des dépôts et sont rejetés.</w:t>
      </w:r>
    </w:p>
    <w:p w:rsidR="002C06B7" w:rsidRDefault="002C06B7">
      <w:pPr>
        <w:spacing w:before="0" w:after="0"/>
        <w:rPr>
          <w:rFonts w:cs="Calibri"/>
          <w:szCs w:val="22"/>
        </w:rPr>
      </w:pPr>
    </w:p>
    <w:p w:rsidR="002C06B7" w:rsidRDefault="00C33788">
      <w:pPr>
        <w:spacing w:before="0" w:after="0"/>
        <w:rPr>
          <w:rFonts w:cs="Calibri"/>
          <w:szCs w:val="22"/>
        </w:rPr>
      </w:pPr>
      <w:r>
        <w:rPr>
          <w:rFonts w:cs="Calibri"/>
          <w:szCs w:val="22"/>
        </w:rPr>
        <w:t>La copie de sauvegarde est ouverte dans les cas suivants :</w:t>
      </w:r>
    </w:p>
    <w:p w:rsidR="002C06B7" w:rsidRDefault="002C06B7">
      <w:pPr>
        <w:spacing w:before="0" w:after="0"/>
        <w:rPr>
          <w:rFonts w:cs="Calibri"/>
          <w:szCs w:val="22"/>
        </w:rPr>
      </w:pPr>
    </w:p>
    <w:p w:rsidR="002C06B7" w:rsidRDefault="00C33788">
      <w:pPr>
        <w:pStyle w:val="Paragraphedeliste"/>
        <w:numPr>
          <w:ilvl w:val="0"/>
          <w:numId w:val="31"/>
        </w:numPr>
        <w:spacing w:before="0" w:after="0"/>
        <w:rPr>
          <w:rFonts w:cs="Calibri"/>
          <w:szCs w:val="20"/>
        </w:rPr>
      </w:pPr>
      <w:r>
        <w:rPr>
          <w:rFonts w:cs="Calibri"/>
          <w:szCs w:val="20"/>
        </w:rPr>
        <w:t>Lorsqu'un programme informatique malveillant est détecté dans les candidatures ou les offres transmises par voie électronique. La trace de cette malveillance est conservée ;</w:t>
      </w:r>
    </w:p>
    <w:p w:rsidR="002C06B7" w:rsidRDefault="00C33788">
      <w:pPr>
        <w:pStyle w:val="Paragraphedeliste"/>
        <w:numPr>
          <w:ilvl w:val="0"/>
          <w:numId w:val="31"/>
        </w:numPr>
        <w:spacing w:before="0" w:after="0"/>
        <w:rPr>
          <w:rFonts w:cs="Calibri"/>
          <w:szCs w:val="20"/>
        </w:rPr>
      </w:pPr>
      <w:r>
        <w:rPr>
          <w:rFonts w:cs="Calibri"/>
          <w:szCs w:val="20"/>
        </w:rPr>
        <w:t>Lorsqu'une candidature ou une offre électronique est reçue de façon incomplète, hors délais ou n'a pu être ouverte, sous réserve que la transmission de la candidature ou de l'offre électronique ait commencé avant la clôture de la remise des candidatures ou des offres.</w:t>
      </w:r>
    </w:p>
    <w:p w:rsidR="002C06B7" w:rsidRDefault="002C06B7">
      <w:pPr>
        <w:spacing w:before="0" w:after="0"/>
        <w:rPr>
          <w:rFonts w:cs="Calibri"/>
          <w:szCs w:val="22"/>
        </w:rPr>
      </w:pPr>
    </w:p>
    <w:p w:rsidR="002C06B7" w:rsidRDefault="00C33788">
      <w:pPr>
        <w:spacing w:before="0" w:after="0"/>
        <w:rPr>
          <w:rFonts w:cs="Calibri"/>
          <w:szCs w:val="22"/>
        </w:rPr>
      </w:pPr>
      <w:r>
        <w:rPr>
          <w:rFonts w:cs="Calibri"/>
          <w:szCs w:val="22"/>
        </w:rPr>
        <w:t>Si le pli n’est pas ouvert ou a été écarté pour détection de programme malveillant dans la copie de sauvegarde, il est détruit à l’issue de la procédure.</w:t>
      </w:r>
    </w:p>
    <w:p w:rsidR="002C06B7" w:rsidRDefault="002C06B7">
      <w:pPr>
        <w:spacing w:before="0" w:after="0"/>
        <w:rPr>
          <w:rFonts w:cs="Calibri"/>
          <w:szCs w:val="22"/>
        </w:rPr>
      </w:pPr>
    </w:p>
    <w:p w:rsidR="002C06B7" w:rsidRDefault="00C33788">
      <w:pPr>
        <w:spacing w:before="0" w:after="0"/>
        <w:rPr>
          <w:rFonts w:cs="Calibri"/>
          <w:b/>
          <w:szCs w:val="22"/>
          <w:u w:val="single"/>
        </w:rPr>
      </w:pPr>
      <w:r>
        <w:rPr>
          <w:rFonts w:cs="Calibri"/>
          <w:szCs w:val="22"/>
        </w:rPr>
        <w:t>La copie de sauvegarde doit comporter la mention lisible « </w:t>
      </w:r>
      <w:r>
        <w:rPr>
          <w:rFonts w:cs="Calibri"/>
          <w:b/>
          <w:i/>
          <w:szCs w:val="22"/>
          <w:u w:val="single"/>
        </w:rPr>
        <w:t>copie de sauvegarde</w:t>
      </w:r>
      <w:r>
        <w:rPr>
          <w:rFonts w:cs="Calibri"/>
          <w:b/>
          <w:szCs w:val="22"/>
          <w:u w:val="single"/>
        </w:rPr>
        <w:t xml:space="preserve"> » et l’objet et le numéro de la consultation.</w:t>
      </w:r>
    </w:p>
    <w:p w:rsidR="002C06B7" w:rsidRDefault="002C06B7">
      <w:pPr>
        <w:spacing w:before="0" w:after="0"/>
        <w:rPr>
          <w:rFonts w:cs="Calibri"/>
          <w:b/>
          <w:szCs w:val="22"/>
          <w:u w:val="single"/>
        </w:rPr>
      </w:pPr>
    </w:p>
    <w:p w:rsidR="002C06B7" w:rsidRDefault="00C33788">
      <w:pPr>
        <w:pStyle w:val="Titre4"/>
      </w:pPr>
      <w:bookmarkStart w:id="57" w:name="_Toc154499198"/>
      <w:r>
        <w:t>Par voie dématérialisée</w:t>
      </w:r>
      <w:bookmarkEnd w:id="57"/>
      <w:r>
        <w:t xml:space="preserve"> </w:t>
      </w:r>
    </w:p>
    <w:p w:rsidR="002C06B7" w:rsidRDefault="00C33788">
      <w:pPr>
        <w:spacing w:before="0" w:after="0"/>
        <w:rPr>
          <w:rFonts w:cs="Calibri"/>
          <w:szCs w:val="22"/>
        </w:rPr>
      </w:pPr>
      <w:r>
        <w:rPr>
          <w:rFonts w:cs="Calibri"/>
          <w:b/>
          <w:szCs w:val="22"/>
        </w:rPr>
        <w:t>Dans l’hypothèse où la copie de sauvegarde ne dépasse pas 5 mégaoctets</w:t>
      </w:r>
      <w:r>
        <w:rPr>
          <w:rFonts w:cs="Calibri"/>
          <w:szCs w:val="22"/>
        </w:rPr>
        <w:t>, le candidat peut la transmettre soit par lettre recommandée électronique via un outil qualifié soit par un service qui permet l’envoi et la réception de fichier en respectant les exigences de l’annexe 8 du Code de la commande publique « la liste des produits autorisés pour l'envoi par lettre recommandée électronique » des copies de sauvegarde (page 20 et 21 pour la France).</w:t>
      </w:r>
    </w:p>
    <w:p w:rsidR="002C06B7" w:rsidRDefault="00C33788">
      <w:pPr>
        <w:pStyle w:val="Titre4"/>
        <w:rPr>
          <w:szCs w:val="22"/>
        </w:rPr>
      </w:pPr>
      <w:bookmarkStart w:id="58" w:name="_Toc154499199"/>
      <w:r>
        <w:rPr>
          <w:szCs w:val="22"/>
        </w:rPr>
        <w:t>Par voie physique</w:t>
      </w:r>
      <w:bookmarkEnd w:id="58"/>
      <w:r>
        <w:rPr>
          <w:szCs w:val="22"/>
        </w:rPr>
        <w:t xml:space="preserve"> </w:t>
      </w:r>
    </w:p>
    <w:p w:rsidR="002C06B7" w:rsidRDefault="00C33788">
      <w:pPr>
        <w:spacing w:before="0" w:after="0"/>
        <w:rPr>
          <w:rFonts w:cs="Calibri"/>
          <w:szCs w:val="22"/>
        </w:rPr>
      </w:pPr>
      <w:r>
        <w:rPr>
          <w:rFonts w:cs="Calibri"/>
          <w:szCs w:val="22"/>
        </w:rPr>
        <w:t>Le candidat peut adresser au pouvoir adjudicateur une copie de sauvegarde de ce dossier :</w:t>
      </w:r>
    </w:p>
    <w:p w:rsidR="002C06B7" w:rsidRDefault="00C33788">
      <w:pPr>
        <w:pStyle w:val="Paragraphedeliste"/>
        <w:numPr>
          <w:ilvl w:val="0"/>
          <w:numId w:val="31"/>
        </w:numPr>
        <w:spacing w:before="0" w:after="0"/>
        <w:rPr>
          <w:rFonts w:cs="Calibri"/>
          <w:szCs w:val="22"/>
        </w:rPr>
      </w:pPr>
      <w:r>
        <w:rPr>
          <w:rFonts w:cs="Calibri"/>
          <w:szCs w:val="22"/>
        </w:rPr>
        <w:t>Soit sur support papier ;</w:t>
      </w:r>
    </w:p>
    <w:p w:rsidR="002C06B7" w:rsidRDefault="00C33788">
      <w:pPr>
        <w:pStyle w:val="Paragraphedeliste"/>
        <w:numPr>
          <w:ilvl w:val="0"/>
          <w:numId w:val="31"/>
        </w:numPr>
        <w:spacing w:before="0" w:after="0"/>
        <w:rPr>
          <w:rFonts w:cs="Calibri"/>
          <w:szCs w:val="22"/>
        </w:rPr>
      </w:pPr>
      <w:r>
        <w:rPr>
          <w:rFonts w:cs="Calibri"/>
          <w:szCs w:val="22"/>
        </w:rPr>
        <w:t>Soit sur support physique électronique : CD-ROM, DVD-ROM, cl</w:t>
      </w:r>
      <w:r>
        <w:rPr>
          <w:rFonts w:cs="Marianne"/>
          <w:szCs w:val="22"/>
        </w:rPr>
        <w:t>é</w:t>
      </w:r>
      <w:r>
        <w:rPr>
          <w:rFonts w:cs="Calibri"/>
          <w:szCs w:val="22"/>
        </w:rPr>
        <w:t xml:space="preserve"> USB, etc. La copie remise doit alors se pr</w:t>
      </w:r>
      <w:r>
        <w:rPr>
          <w:rFonts w:cs="Marianne"/>
          <w:szCs w:val="22"/>
        </w:rPr>
        <w:t>é</w:t>
      </w:r>
      <w:r>
        <w:rPr>
          <w:rFonts w:cs="Calibri"/>
          <w:szCs w:val="22"/>
        </w:rPr>
        <w:t>senter sous la m</w:t>
      </w:r>
      <w:r>
        <w:rPr>
          <w:rFonts w:cs="Marianne"/>
          <w:szCs w:val="22"/>
        </w:rPr>
        <w:t>ê</w:t>
      </w:r>
      <w:r>
        <w:rPr>
          <w:rFonts w:cs="Calibri"/>
          <w:szCs w:val="22"/>
        </w:rPr>
        <w:t xml:space="preserve">me forme que le dossier remis sur la PLACE. </w:t>
      </w:r>
    </w:p>
    <w:p w:rsidR="002C06B7" w:rsidRDefault="002C06B7">
      <w:pPr>
        <w:spacing w:before="0" w:after="0"/>
        <w:rPr>
          <w:rFonts w:cs="Calibri"/>
          <w:szCs w:val="22"/>
        </w:rPr>
      </w:pPr>
    </w:p>
    <w:p w:rsidR="002C06B7" w:rsidRDefault="00C33788">
      <w:pPr>
        <w:spacing w:before="0" w:after="0"/>
        <w:rPr>
          <w:rFonts w:cs="Calibri"/>
          <w:szCs w:val="22"/>
        </w:rPr>
      </w:pPr>
      <w:r>
        <w:rPr>
          <w:rFonts w:cs="Calibri"/>
          <w:szCs w:val="22"/>
        </w:rPr>
        <w:t>Quel que soit le type de support retenu le candidat transmet sa copie selon l’un des modes de transmission ci-après :</w:t>
      </w:r>
    </w:p>
    <w:p w:rsidR="002C06B7" w:rsidRDefault="002C06B7">
      <w:pPr>
        <w:spacing w:before="0" w:after="0"/>
        <w:rPr>
          <w:rFonts w:cs="Calibri"/>
          <w:szCs w:val="22"/>
        </w:rPr>
      </w:pPr>
    </w:p>
    <w:p w:rsidR="002C06B7" w:rsidRDefault="00C33788">
      <w:pPr>
        <w:numPr>
          <w:ilvl w:val="0"/>
          <w:numId w:val="22"/>
        </w:numPr>
        <w:spacing w:before="0" w:after="0"/>
        <w:rPr>
          <w:rFonts w:cs="Calibri"/>
          <w:szCs w:val="22"/>
        </w:rPr>
      </w:pPr>
      <w:r>
        <w:rPr>
          <w:rFonts w:cs="Calibri"/>
          <w:szCs w:val="22"/>
        </w:rPr>
        <w:t>Soit par voie postale, en recommandé avec avis de réception, à l’adresse suivante :</w:t>
      </w:r>
    </w:p>
    <w:p w:rsidR="002C06B7" w:rsidRDefault="002C06B7">
      <w:pPr>
        <w:spacing w:before="0" w:after="0"/>
        <w:jc w:val="center"/>
        <w:rPr>
          <w:rFonts w:cs="Calibri"/>
          <w:szCs w:val="22"/>
        </w:rPr>
      </w:pPr>
    </w:p>
    <w:p w:rsidR="002C06B7" w:rsidRDefault="00C33788">
      <w:pPr>
        <w:spacing w:before="0" w:after="0"/>
        <w:jc w:val="center"/>
        <w:rPr>
          <w:rFonts w:cs="Calibri"/>
          <w:b/>
          <w:szCs w:val="22"/>
        </w:rPr>
      </w:pPr>
      <w:r>
        <w:rPr>
          <w:rFonts w:cs="Calibri"/>
          <w:b/>
          <w:szCs w:val="22"/>
        </w:rPr>
        <w:t xml:space="preserve">Ministère de l'Intérieur </w:t>
      </w:r>
    </w:p>
    <w:p w:rsidR="002C06B7" w:rsidRDefault="00C33788">
      <w:pPr>
        <w:spacing w:before="0" w:after="0"/>
        <w:jc w:val="center"/>
        <w:rPr>
          <w:rFonts w:cs="Calibri"/>
          <w:szCs w:val="22"/>
        </w:rPr>
      </w:pPr>
      <w:r>
        <w:rPr>
          <w:rFonts w:cs="Calibri"/>
          <w:szCs w:val="22"/>
        </w:rPr>
        <w:t>Direction de l’évaluation, de la performance, de l’achat, des finances et de l’immobilier</w:t>
      </w:r>
    </w:p>
    <w:p w:rsidR="002C06B7" w:rsidRDefault="00C33788">
      <w:pPr>
        <w:spacing w:before="0" w:after="0"/>
        <w:jc w:val="center"/>
        <w:rPr>
          <w:rFonts w:cs="Calibri"/>
          <w:szCs w:val="22"/>
        </w:rPr>
      </w:pPr>
      <w:r>
        <w:rPr>
          <w:rFonts w:cs="Calibri"/>
          <w:szCs w:val="22"/>
        </w:rPr>
        <w:t>Service achat innovation logistique du ministère de l’Intérieur</w:t>
      </w:r>
    </w:p>
    <w:p w:rsidR="002C06B7" w:rsidRDefault="00C33788">
      <w:pPr>
        <w:spacing w:before="0" w:after="0"/>
        <w:jc w:val="center"/>
        <w:rPr>
          <w:rFonts w:cs="Calibri"/>
          <w:szCs w:val="22"/>
        </w:rPr>
      </w:pPr>
      <w:r>
        <w:rPr>
          <w:rFonts w:cs="Calibri"/>
          <w:szCs w:val="22"/>
        </w:rPr>
        <w:t>Sous-direction de l’achat et du suivi de l’exécution des marches</w:t>
      </w:r>
    </w:p>
    <w:p w:rsidR="002C06B7" w:rsidRDefault="00C33788">
      <w:pPr>
        <w:spacing w:before="0" w:after="0"/>
        <w:jc w:val="center"/>
        <w:rPr>
          <w:rFonts w:cs="Calibri"/>
          <w:szCs w:val="22"/>
        </w:rPr>
      </w:pPr>
      <w:r>
        <w:rPr>
          <w:rFonts w:cs="Calibri"/>
          <w:szCs w:val="22"/>
        </w:rPr>
        <w:t>Bureau des achats immobiliers et prestations</w:t>
      </w:r>
    </w:p>
    <w:p w:rsidR="002C06B7" w:rsidRDefault="00C33788">
      <w:pPr>
        <w:spacing w:before="0" w:after="0"/>
        <w:jc w:val="center"/>
        <w:rPr>
          <w:rFonts w:cs="Calibri"/>
          <w:szCs w:val="22"/>
        </w:rPr>
      </w:pPr>
      <w:r>
        <w:rPr>
          <w:rFonts w:cs="Calibri"/>
          <w:szCs w:val="22"/>
        </w:rPr>
        <w:lastRenderedPageBreak/>
        <w:t>Place Beauvau – immeuble lumière</w:t>
      </w:r>
    </w:p>
    <w:p w:rsidR="002C06B7" w:rsidRDefault="00C33788">
      <w:pPr>
        <w:spacing w:before="0" w:after="0"/>
        <w:jc w:val="center"/>
        <w:rPr>
          <w:rFonts w:cs="Calibri"/>
          <w:szCs w:val="22"/>
        </w:rPr>
      </w:pPr>
      <w:r>
        <w:rPr>
          <w:rFonts w:cs="Calibri"/>
          <w:szCs w:val="22"/>
        </w:rPr>
        <w:t>75800 – Paris cedex 08</w:t>
      </w:r>
    </w:p>
    <w:p w:rsidR="002C06B7" w:rsidRDefault="002C06B7">
      <w:pPr>
        <w:spacing w:before="0" w:after="0"/>
        <w:jc w:val="center"/>
        <w:rPr>
          <w:rFonts w:cs="Calibri"/>
          <w:szCs w:val="22"/>
        </w:rPr>
      </w:pPr>
    </w:p>
    <w:p w:rsidR="002C06B7" w:rsidRDefault="00C33788">
      <w:pPr>
        <w:spacing w:before="0" w:after="0"/>
        <w:jc w:val="center"/>
        <w:rPr>
          <w:rFonts w:cs="Calibri"/>
          <w:szCs w:val="22"/>
        </w:rPr>
      </w:pPr>
      <w:r>
        <w:rPr>
          <w:rFonts w:cs="Calibri"/>
          <w:szCs w:val="22"/>
        </w:rPr>
        <w:t>NE DOIT PAS ETRE OUVERT PAR LE SERVICE COURRIER</w:t>
      </w:r>
    </w:p>
    <w:p w:rsidR="002C06B7" w:rsidRDefault="002C06B7">
      <w:pPr>
        <w:spacing w:before="0" w:after="0"/>
        <w:rPr>
          <w:rFonts w:cs="Calibri"/>
          <w:szCs w:val="22"/>
        </w:rPr>
      </w:pPr>
    </w:p>
    <w:p w:rsidR="002C06B7" w:rsidRDefault="00C33788">
      <w:pPr>
        <w:spacing w:before="0" w:after="0"/>
        <w:jc w:val="center"/>
        <w:rPr>
          <w:rFonts w:cs="Calibri"/>
          <w:szCs w:val="22"/>
        </w:rPr>
      </w:pPr>
      <w:r>
        <w:rPr>
          <w:rFonts w:cs="Calibri"/>
          <w:szCs w:val="22"/>
        </w:rPr>
        <w:t>A l’attention du bureau des achats immobiliers et prestations</w:t>
      </w:r>
    </w:p>
    <w:p w:rsidR="002C06B7" w:rsidRDefault="002C06B7">
      <w:pPr>
        <w:spacing w:before="0" w:after="0"/>
        <w:rPr>
          <w:rFonts w:cs="Calibri"/>
          <w:szCs w:val="22"/>
        </w:rPr>
      </w:pPr>
    </w:p>
    <w:p w:rsidR="002C06B7" w:rsidRDefault="00C33788">
      <w:pPr>
        <w:pStyle w:val="Paragraphedeliste"/>
        <w:numPr>
          <w:ilvl w:val="0"/>
          <w:numId w:val="22"/>
        </w:numPr>
        <w:spacing w:before="0" w:after="0"/>
        <w:rPr>
          <w:rFonts w:cs="Calibri"/>
          <w:szCs w:val="20"/>
        </w:rPr>
      </w:pPr>
      <w:r>
        <w:rPr>
          <w:rFonts w:cs="Calibri"/>
          <w:szCs w:val="20"/>
        </w:rPr>
        <w:t xml:space="preserve">Soit par dépôt physique dans les locaux du </w:t>
      </w:r>
      <w:r>
        <w:rPr>
          <w:rFonts w:cs="Calibri"/>
          <w:bCs/>
          <w:szCs w:val="20"/>
        </w:rPr>
        <w:t>ministère</w:t>
      </w:r>
      <w:r>
        <w:rPr>
          <w:rFonts w:cs="Calibri"/>
          <w:szCs w:val="20"/>
        </w:rPr>
        <w:t xml:space="preserve">, à l’attention du bureau des achats immobiliers et prestations contre remise d’un récépissé, du lundi au vendredi de 9 heures 30 </w:t>
      </w:r>
      <w:r>
        <w:rPr>
          <w:rFonts w:cs="Marianne"/>
          <w:szCs w:val="20"/>
        </w:rPr>
        <w:t>à</w:t>
      </w:r>
      <w:r>
        <w:rPr>
          <w:rFonts w:cs="Calibri"/>
          <w:szCs w:val="20"/>
        </w:rPr>
        <w:t xml:space="preserve"> 17 heures 00 (interruption des d</w:t>
      </w:r>
      <w:r>
        <w:rPr>
          <w:rFonts w:cs="Marianne"/>
          <w:szCs w:val="20"/>
        </w:rPr>
        <w:t>é</w:t>
      </w:r>
      <w:r>
        <w:rPr>
          <w:rFonts w:cs="Calibri"/>
          <w:szCs w:val="20"/>
        </w:rPr>
        <w:t>p</w:t>
      </w:r>
      <w:r>
        <w:rPr>
          <w:rFonts w:cs="Marianne"/>
          <w:szCs w:val="20"/>
        </w:rPr>
        <w:t>ô</w:t>
      </w:r>
      <w:r>
        <w:rPr>
          <w:rFonts w:cs="Calibri"/>
          <w:szCs w:val="20"/>
        </w:rPr>
        <w:t xml:space="preserve">ts de 12 heures 00 </w:t>
      </w:r>
      <w:r>
        <w:rPr>
          <w:rFonts w:cs="Marianne"/>
          <w:szCs w:val="20"/>
        </w:rPr>
        <w:t>à</w:t>
      </w:r>
      <w:r>
        <w:rPr>
          <w:rFonts w:cs="Calibri"/>
          <w:szCs w:val="20"/>
        </w:rPr>
        <w:t xml:space="preserve"> 14 heures 00), </w:t>
      </w:r>
      <w:r>
        <w:rPr>
          <w:rFonts w:cs="Marianne"/>
          <w:szCs w:val="20"/>
        </w:rPr>
        <w:t>à</w:t>
      </w:r>
      <w:r>
        <w:rPr>
          <w:rFonts w:cs="Calibri"/>
          <w:szCs w:val="20"/>
        </w:rPr>
        <w:t xml:space="preserve"> l</w:t>
      </w:r>
      <w:r>
        <w:rPr>
          <w:rFonts w:cs="Marianne"/>
          <w:szCs w:val="20"/>
        </w:rPr>
        <w:t>’</w:t>
      </w:r>
      <w:r>
        <w:rPr>
          <w:rFonts w:cs="Calibri"/>
          <w:szCs w:val="20"/>
        </w:rPr>
        <w:t>adresse ci-apr</w:t>
      </w:r>
      <w:r>
        <w:rPr>
          <w:rFonts w:cs="Marianne"/>
          <w:szCs w:val="20"/>
        </w:rPr>
        <w:t>è</w:t>
      </w:r>
      <w:r>
        <w:rPr>
          <w:rFonts w:cs="Calibri"/>
          <w:szCs w:val="20"/>
        </w:rPr>
        <w:t>s :</w:t>
      </w:r>
    </w:p>
    <w:p w:rsidR="002C06B7" w:rsidRDefault="002C06B7">
      <w:pPr>
        <w:pStyle w:val="Paragraphedeliste"/>
        <w:spacing w:before="0" w:after="0"/>
        <w:ind w:left="720"/>
        <w:rPr>
          <w:rFonts w:cs="Calibri"/>
          <w:sz w:val="20"/>
          <w:szCs w:val="20"/>
        </w:rPr>
      </w:pPr>
    </w:p>
    <w:p w:rsidR="002C06B7" w:rsidRDefault="00C33788">
      <w:pPr>
        <w:spacing w:before="0" w:after="0"/>
        <w:jc w:val="center"/>
        <w:rPr>
          <w:rFonts w:cs="Calibri"/>
          <w:b/>
          <w:szCs w:val="22"/>
        </w:rPr>
      </w:pPr>
      <w:r>
        <w:rPr>
          <w:rFonts w:cs="Calibri"/>
          <w:b/>
          <w:szCs w:val="22"/>
        </w:rPr>
        <w:t xml:space="preserve">Ministère de l'Intérieur </w:t>
      </w:r>
    </w:p>
    <w:p w:rsidR="002C06B7" w:rsidRDefault="00C33788">
      <w:pPr>
        <w:spacing w:before="0" w:after="0"/>
        <w:jc w:val="center"/>
        <w:rPr>
          <w:rFonts w:cs="Calibri"/>
          <w:szCs w:val="22"/>
        </w:rPr>
      </w:pPr>
      <w:r>
        <w:rPr>
          <w:rFonts w:cs="Calibri"/>
          <w:szCs w:val="22"/>
        </w:rPr>
        <w:t>Direction de l’évaluation, de la performance, de l’achat, des finances et de l’immobilier</w:t>
      </w:r>
    </w:p>
    <w:p w:rsidR="002C06B7" w:rsidRDefault="00C33788">
      <w:pPr>
        <w:spacing w:before="0" w:after="0"/>
        <w:jc w:val="center"/>
        <w:rPr>
          <w:rFonts w:cs="Calibri"/>
          <w:szCs w:val="22"/>
        </w:rPr>
      </w:pPr>
      <w:r>
        <w:rPr>
          <w:rFonts w:cs="Calibri"/>
          <w:szCs w:val="22"/>
        </w:rPr>
        <w:t>Service achat innovation logistique du ministère de l’Intérieur</w:t>
      </w:r>
    </w:p>
    <w:p w:rsidR="002C06B7" w:rsidRDefault="00C33788">
      <w:pPr>
        <w:spacing w:before="0" w:after="0"/>
        <w:jc w:val="center"/>
        <w:rPr>
          <w:rFonts w:cs="Calibri"/>
          <w:szCs w:val="22"/>
        </w:rPr>
      </w:pPr>
      <w:r>
        <w:rPr>
          <w:rFonts w:cs="Calibri"/>
          <w:szCs w:val="22"/>
        </w:rPr>
        <w:t>Sous-Direction de l’Achat et du suivi de l’exécution des marchés</w:t>
      </w:r>
    </w:p>
    <w:p w:rsidR="002C06B7" w:rsidRDefault="00C33788">
      <w:pPr>
        <w:spacing w:before="0" w:after="0"/>
        <w:jc w:val="center"/>
        <w:rPr>
          <w:rFonts w:cs="Calibri"/>
          <w:szCs w:val="22"/>
        </w:rPr>
      </w:pPr>
      <w:r>
        <w:rPr>
          <w:rFonts w:cs="Calibri"/>
          <w:szCs w:val="22"/>
        </w:rPr>
        <w:t>Bureau des achats immobiliers et prestations</w:t>
      </w:r>
    </w:p>
    <w:p w:rsidR="002C06B7" w:rsidRDefault="00C33788">
      <w:pPr>
        <w:spacing w:before="0" w:after="0"/>
        <w:jc w:val="center"/>
        <w:rPr>
          <w:rFonts w:cs="Calibri"/>
          <w:szCs w:val="22"/>
        </w:rPr>
      </w:pPr>
      <w:r>
        <w:rPr>
          <w:rFonts w:cs="Calibri"/>
          <w:szCs w:val="22"/>
        </w:rPr>
        <w:t>40, avenue des terroirs de France</w:t>
      </w:r>
    </w:p>
    <w:p w:rsidR="002C06B7" w:rsidRDefault="00C33788">
      <w:pPr>
        <w:spacing w:before="0" w:after="0"/>
        <w:jc w:val="center"/>
        <w:rPr>
          <w:rFonts w:cs="Calibri"/>
          <w:szCs w:val="22"/>
        </w:rPr>
      </w:pPr>
      <w:r>
        <w:rPr>
          <w:rFonts w:cs="Calibri"/>
          <w:szCs w:val="22"/>
        </w:rPr>
        <w:t>75012 – Paris</w:t>
      </w:r>
    </w:p>
    <w:p w:rsidR="002C06B7" w:rsidRDefault="002C06B7">
      <w:pPr>
        <w:spacing w:before="0" w:after="0"/>
        <w:rPr>
          <w:rFonts w:cs="Calibri"/>
          <w:szCs w:val="22"/>
        </w:rPr>
      </w:pPr>
    </w:p>
    <w:p w:rsidR="002C06B7" w:rsidRDefault="00C33788">
      <w:pPr>
        <w:spacing w:before="0" w:after="0"/>
        <w:rPr>
          <w:rFonts w:cs="Calibri"/>
          <w:szCs w:val="22"/>
        </w:rPr>
      </w:pPr>
      <w:r>
        <w:rPr>
          <w:rFonts w:cs="Calibri"/>
          <w:szCs w:val="22"/>
        </w:rPr>
        <w:t xml:space="preserve">Le candidat est invité à informer le bureau des achats immobiliers et prestations des date et heure de passage à l’adresse : </w:t>
      </w:r>
      <w:hyperlink r:id="rId17" w:tooltip="mailto:sailmi-services-fournitures-generales@interieur.gouv.fr" w:history="1">
        <w:r>
          <w:rPr>
            <w:rStyle w:val="Lienhypertexte"/>
            <w:rFonts w:cs="Calibri"/>
            <w:szCs w:val="22"/>
          </w:rPr>
          <w:t>sailmi-services-fournitures-generales@interieur.gouv.fr</w:t>
        </w:r>
      </w:hyperlink>
      <w:r>
        <w:rPr>
          <w:rFonts w:cs="Calibri"/>
          <w:szCs w:val="22"/>
        </w:rPr>
        <w:t xml:space="preserve"> </w:t>
      </w:r>
    </w:p>
    <w:p w:rsidR="002C06B7" w:rsidRDefault="002C06B7">
      <w:pPr>
        <w:spacing w:before="0" w:after="0"/>
        <w:rPr>
          <w:rFonts w:cs="Calibri"/>
          <w:szCs w:val="22"/>
        </w:rPr>
      </w:pPr>
    </w:p>
    <w:p w:rsidR="002C06B7" w:rsidRDefault="00C33788">
      <w:pPr>
        <w:pStyle w:val="Titre3"/>
        <w:rPr>
          <w:rFonts w:ascii="Marianne" w:hAnsi="Marianne"/>
        </w:rPr>
      </w:pPr>
      <w:bookmarkStart w:id="59" w:name="_Toc154499200"/>
      <w:bookmarkStart w:id="60" w:name="_Toc154500265"/>
      <w:bookmarkStart w:id="61" w:name="_Toc198742628"/>
      <w:bookmarkStart w:id="62" w:name="_Toc202861563"/>
      <w:r>
        <w:rPr>
          <w:rFonts w:ascii="Marianne" w:hAnsi="Marianne"/>
        </w:rPr>
        <w:t>Antivirus</w:t>
      </w:r>
      <w:bookmarkEnd w:id="59"/>
      <w:bookmarkEnd w:id="60"/>
      <w:bookmarkEnd w:id="61"/>
      <w:bookmarkEnd w:id="62"/>
    </w:p>
    <w:p w:rsidR="002C06B7" w:rsidRDefault="002C06B7">
      <w:pPr>
        <w:pStyle w:val="Standard"/>
        <w:ind w:firstLine="0"/>
        <w:rPr>
          <w:rFonts w:ascii="Marianne" w:hAnsi="Marianne" w:cs="Calibri"/>
          <w:sz w:val="20"/>
        </w:rPr>
      </w:pPr>
    </w:p>
    <w:p w:rsidR="002C06B7" w:rsidRDefault="00C33788">
      <w:pPr>
        <w:pStyle w:val="Standard"/>
        <w:ind w:firstLine="0"/>
        <w:rPr>
          <w:rFonts w:ascii="Marianne" w:hAnsi="Marianne" w:cs="Calibri"/>
          <w:sz w:val="22"/>
        </w:rPr>
      </w:pPr>
      <w:r>
        <w:rPr>
          <w:rFonts w:ascii="Marianne" w:hAnsi="Marianne" w:cs="Calibri"/>
          <w:sz w:val="22"/>
        </w:rPr>
        <w:t>Les candidats doivent s'assurer que les fichiers transmis ne comportent pas de virus.</w:t>
      </w:r>
    </w:p>
    <w:p w:rsidR="002C06B7" w:rsidRDefault="002C06B7">
      <w:pPr>
        <w:pStyle w:val="Standard"/>
        <w:ind w:firstLine="0"/>
        <w:rPr>
          <w:rFonts w:ascii="Marianne" w:hAnsi="Marianne" w:cs="Calibri"/>
          <w:sz w:val="22"/>
        </w:rPr>
      </w:pPr>
    </w:p>
    <w:p w:rsidR="002C06B7" w:rsidRDefault="00C33788">
      <w:pPr>
        <w:pStyle w:val="Standard"/>
        <w:ind w:firstLine="0"/>
        <w:rPr>
          <w:rFonts w:ascii="Marianne" w:hAnsi="Marianne" w:cs="Calibri"/>
          <w:sz w:val="22"/>
        </w:rPr>
      </w:pPr>
      <w:r>
        <w:rPr>
          <w:rFonts w:ascii="Marianne" w:hAnsi="Marianne" w:cs="Calibri"/>
          <w:sz w:val="22"/>
        </w:rPr>
        <w:t>La réception de tout fichier contenant un virus entraînera l'irrecevabilité de l'offre. Si un virus est détecté, le pli sera considéré comme n'ayant jamais été reçu et les candidats en sont avertis grâce aux renseignements saisis lors de leur identification.</w:t>
      </w:r>
    </w:p>
    <w:p w:rsidR="002C06B7" w:rsidRDefault="00C33788">
      <w:pPr>
        <w:pStyle w:val="Titre2"/>
      </w:pPr>
      <w:bookmarkStart w:id="63" w:name="_Toc198742629"/>
      <w:bookmarkStart w:id="64" w:name="_Toc202861564"/>
      <w:r>
        <w:t>Durée de validité des offres</w:t>
      </w:r>
      <w:bookmarkEnd w:id="63"/>
      <w:bookmarkEnd w:id="64"/>
    </w:p>
    <w:p w:rsidR="002C06B7" w:rsidRDefault="00C33788">
      <w:pPr>
        <w:pStyle w:val="Titre3"/>
        <w:rPr>
          <w:rFonts w:ascii="Marianne" w:hAnsi="Marianne"/>
        </w:rPr>
      </w:pPr>
      <w:bookmarkStart w:id="65" w:name="_Toc198742630"/>
      <w:bookmarkStart w:id="66" w:name="_Toc202861565"/>
      <w:r>
        <w:rPr>
          <w:rFonts w:ascii="Marianne" w:hAnsi="Marianne"/>
        </w:rPr>
        <w:t>Durée minimale applicable à la présente consultation</w:t>
      </w:r>
      <w:bookmarkEnd w:id="65"/>
      <w:bookmarkEnd w:id="66"/>
    </w:p>
    <w:p w:rsidR="002C06B7" w:rsidRDefault="00C33788">
      <w:pPr>
        <w:rPr>
          <w:szCs w:val="22"/>
        </w:rPr>
      </w:pPr>
      <w:r>
        <w:rPr>
          <w:szCs w:val="22"/>
        </w:rPr>
        <w:t xml:space="preserve">Les offres sont valables </w:t>
      </w:r>
      <w:r>
        <w:rPr>
          <w:b/>
          <w:szCs w:val="22"/>
        </w:rPr>
        <w:t>neuf mois</w:t>
      </w:r>
      <w:r>
        <w:rPr>
          <w:szCs w:val="22"/>
        </w:rPr>
        <w:t xml:space="preserve"> à compter de la date limite de leur réception.</w:t>
      </w:r>
    </w:p>
    <w:p w:rsidR="002C06B7" w:rsidRDefault="00C33788">
      <w:pPr>
        <w:spacing w:before="0" w:after="0"/>
        <w:rPr>
          <w:rFonts w:cs="Calibri"/>
          <w:szCs w:val="22"/>
        </w:rPr>
      </w:pPr>
      <w:r>
        <w:rPr>
          <w:rFonts w:cs="Calibri"/>
          <w:szCs w:val="22"/>
        </w:rPr>
        <w:t xml:space="preserve">Il est précisé que l’accord-cadre </w:t>
      </w:r>
      <w:proofErr w:type="gramStart"/>
      <w:r>
        <w:rPr>
          <w:rFonts w:cs="Calibri"/>
          <w:szCs w:val="22"/>
        </w:rPr>
        <w:t>peut être</w:t>
      </w:r>
      <w:proofErr w:type="gramEnd"/>
      <w:r>
        <w:rPr>
          <w:rFonts w:cs="Calibri"/>
          <w:szCs w:val="22"/>
        </w:rPr>
        <w:t xml:space="preserve"> signé postérieurement à l’expiration du délai de validité des offres à la condition que le pouvoir adjudicateur a fait son choix sur l’offre retenue durant ce délai.</w:t>
      </w:r>
    </w:p>
    <w:p w:rsidR="002C06B7" w:rsidRDefault="00C33788">
      <w:pPr>
        <w:pStyle w:val="Titre3"/>
        <w:rPr>
          <w:rFonts w:ascii="Marianne" w:hAnsi="Marianne"/>
        </w:rPr>
      </w:pPr>
      <w:bookmarkStart w:id="67" w:name="_Toc198742631"/>
      <w:bookmarkStart w:id="68" w:name="_Toc202861566"/>
      <w:r>
        <w:rPr>
          <w:rFonts w:ascii="Marianne" w:hAnsi="Marianne"/>
        </w:rPr>
        <w:t>Prorogation de la date limite de validité des offres</w:t>
      </w:r>
      <w:bookmarkEnd w:id="67"/>
      <w:bookmarkEnd w:id="68"/>
    </w:p>
    <w:p w:rsidR="006D72BC" w:rsidRPr="007109C9" w:rsidRDefault="006D72BC" w:rsidP="006D72BC">
      <w:pPr>
        <w:overflowPunct w:val="0"/>
        <w:autoSpaceDN w:val="0"/>
        <w:adjustRightInd w:val="0"/>
        <w:spacing w:before="0" w:after="0"/>
        <w:textAlignment w:val="baseline"/>
        <w:rPr>
          <w:rFonts w:cs="Calibri"/>
          <w:szCs w:val="22"/>
        </w:rPr>
      </w:pPr>
      <w:bookmarkStart w:id="69" w:name="_Ref328991768"/>
      <w:bookmarkStart w:id="70" w:name="_Toc198742632"/>
      <w:bookmarkStart w:id="71" w:name="_Toc202861567"/>
      <w:r w:rsidRPr="007109C9">
        <w:rPr>
          <w:rFonts w:cs="Calibri"/>
          <w:szCs w:val="22"/>
        </w:rPr>
        <w:t>La date limite de validit</w:t>
      </w:r>
      <w:r w:rsidR="00DE1478">
        <w:rPr>
          <w:rFonts w:cs="Calibri"/>
          <w:szCs w:val="22"/>
        </w:rPr>
        <w:t>é des offres peut être prorogée</w:t>
      </w:r>
      <w:r w:rsidRPr="007109C9">
        <w:rPr>
          <w:rFonts w:cs="Calibri"/>
          <w:szCs w:val="22"/>
        </w:rPr>
        <w:t xml:space="preserve"> avant </w:t>
      </w:r>
      <w:r w:rsidR="00DE1478">
        <w:rPr>
          <w:rFonts w:cs="Calibri"/>
          <w:szCs w:val="22"/>
        </w:rPr>
        <w:t>l’attribution de l‘accord-cadre</w:t>
      </w:r>
      <w:r w:rsidRPr="007109C9">
        <w:rPr>
          <w:rFonts w:cs="Calibri"/>
          <w:szCs w:val="22"/>
        </w:rPr>
        <w:t xml:space="preserve"> à la demande de l’administration, à condition que l’ensemble des candidats admis à présenter une offre donnent leur accord.</w:t>
      </w:r>
    </w:p>
    <w:p w:rsidR="002C06B7" w:rsidRDefault="00C33788">
      <w:pPr>
        <w:pStyle w:val="Titre1"/>
      </w:pPr>
      <w:r>
        <w:lastRenderedPageBreak/>
        <w:t>Contenu du pli du candidat</w:t>
      </w:r>
      <w:bookmarkEnd w:id="69"/>
      <w:bookmarkEnd w:id="70"/>
      <w:bookmarkEnd w:id="71"/>
    </w:p>
    <w:p w:rsidR="002C06B7" w:rsidRDefault="00C33788">
      <w:pPr>
        <w:pStyle w:val="Titre2"/>
      </w:pPr>
      <w:bookmarkStart w:id="72" w:name="_Ref341080073"/>
      <w:bookmarkStart w:id="73" w:name="_Toc448937587"/>
      <w:bookmarkStart w:id="74" w:name="_Toc198742633"/>
      <w:bookmarkStart w:id="75" w:name="_Toc202861568"/>
      <w:r>
        <w:t>Eléments de candidature</w:t>
      </w:r>
      <w:bookmarkEnd w:id="72"/>
      <w:bookmarkEnd w:id="73"/>
      <w:bookmarkEnd w:id="74"/>
      <w:bookmarkEnd w:id="75"/>
    </w:p>
    <w:p w:rsidR="002C06B7" w:rsidRDefault="00C33788">
      <w:pPr>
        <w:pStyle w:val="Titre3"/>
        <w:rPr>
          <w:rFonts w:ascii="Marianne" w:hAnsi="Marianne"/>
        </w:rPr>
      </w:pPr>
      <w:bookmarkStart w:id="76" w:name="_Toc198742634"/>
      <w:bookmarkStart w:id="77" w:name="_Toc202861569"/>
      <w:r>
        <w:rPr>
          <w:rFonts w:ascii="Marianne" w:hAnsi="Marianne"/>
        </w:rPr>
        <w:t>Modalités de communication et contenu des éléments de candidature</w:t>
      </w:r>
      <w:bookmarkEnd w:id="76"/>
      <w:bookmarkEnd w:id="77"/>
    </w:p>
    <w:p w:rsidR="002C06B7" w:rsidRDefault="00C33788">
      <w:pPr>
        <w:pBdr>
          <w:top w:val="single" w:sz="4" w:space="1" w:color="000000"/>
          <w:left w:val="single" w:sz="4" w:space="4" w:color="000000"/>
          <w:bottom w:val="single" w:sz="4" w:space="1" w:color="000000"/>
          <w:right w:val="single" w:sz="4" w:space="4" w:color="000000"/>
        </w:pBdr>
        <w:rPr>
          <w:i/>
          <w:color w:val="7030A0"/>
          <w:szCs w:val="22"/>
        </w:rPr>
      </w:pPr>
      <w:r>
        <w:rPr>
          <w:szCs w:val="22"/>
        </w:rPr>
        <w:t xml:space="preserve">Pour justifier de sa qualité pour recevoir des commandes de l'Etat et de ses capacités au regard de l'objet de l’accord-cadre, le candidat utilise le(s) support(s) de son choix. Il doit </w:t>
      </w:r>
      <w:r>
        <w:rPr>
          <w:b/>
          <w:smallCaps/>
          <w:szCs w:val="22"/>
        </w:rPr>
        <w:t xml:space="preserve">impérativement </w:t>
      </w:r>
      <w:r>
        <w:rPr>
          <w:szCs w:val="22"/>
        </w:rPr>
        <w:t>présenter sa candidature selon l’une des modalités qui suit.</w:t>
      </w:r>
    </w:p>
    <w:p w:rsidR="002C06B7" w:rsidRDefault="00C33788">
      <w:pPr>
        <w:pStyle w:val="Titre4"/>
      </w:pPr>
      <w:r>
        <w:t>1</w:t>
      </w:r>
      <w:r>
        <w:rPr>
          <w:vertAlign w:val="superscript"/>
        </w:rPr>
        <w:t>ère</w:t>
      </w:r>
      <w:r>
        <w:t xml:space="preserve"> modalité : le soumissionnaire transmet l’ensemble des documents visés ci-après</w:t>
      </w:r>
    </w:p>
    <w:p w:rsidR="002C06B7" w:rsidRDefault="00C33788">
      <w:pPr>
        <w:numPr>
          <w:ilvl w:val="0"/>
          <w:numId w:val="17"/>
        </w:numPr>
        <w:tabs>
          <w:tab w:val="left" w:pos="284"/>
        </w:tabs>
        <w:ind w:left="0" w:firstLine="0"/>
        <w:rPr>
          <w:b/>
          <w:smallCaps/>
          <w:szCs w:val="22"/>
        </w:rPr>
      </w:pPr>
      <w:bookmarkStart w:id="78" w:name="_Ref341079581"/>
      <w:r>
        <w:rPr>
          <w:b/>
          <w:smallCaps/>
          <w:szCs w:val="22"/>
        </w:rPr>
        <w:t>Situation juridique propre des opérateurs économiques</w:t>
      </w:r>
      <w:bookmarkEnd w:id="78"/>
    </w:p>
    <w:p w:rsidR="002C06B7" w:rsidRDefault="00C33788">
      <w:pPr>
        <w:rPr>
          <w:szCs w:val="22"/>
        </w:rPr>
      </w:pPr>
      <w:r>
        <w:rPr>
          <w:szCs w:val="22"/>
        </w:rPr>
        <w:t>Le candidat transmet les documents ci-dessous :</w:t>
      </w:r>
    </w:p>
    <w:p w:rsidR="002C06B7" w:rsidRDefault="00C33788">
      <w:pPr>
        <w:pStyle w:val="2Listepoints"/>
      </w:pPr>
      <w:r>
        <w:t>La lettre de candidature (formulaire DC1, joint en annexe III au présent RC) ;</w:t>
      </w:r>
    </w:p>
    <w:p w:rsidR="002C06B7" w:rsidRDefault="00C33788">
      <w:pPr>
        <w:pStyle w:val="2Listepoints"/>
      </w:pPr>
      <w:r>
        <w:t xml:space="preserve">La déclaration du candidat (formulaire DC2, joint en annexe IV au présent RC). </w:t>
      </w:r>
    </w:p>
    <w:p w:rsidR="002C06B7" w:rsidRDefault="00C33788">
      <w:pPr>
        <w:pStyle w:val="2Listepoints"/>
        <w:numPr>
          <w:ilvl w:val="0"/>
          <w:numId w:val="0"/>
        </w:numPr>
      </w:pPr>
      <w:r>
        <w:t xml:space="preserve">En outre, le pouvoir adjudicateur tient à exprimer sa préférence pour qu’en cas de groupement, </w:t>
      </w:r>
      <w:r>
        <w:rPr>
          <w:lang w:eastAsia="en-US"/>
        </w:rPr>
        <w:t xml:space="preserve">quelle que soit sa forme, le mandataire produise un document d’habilitation, dans lequel figure explicitement le nom et les références de publication de la consultation, signé par chacun des membres du groupement, justifiant de la capacité du mandataire à intervenir en leur nom et pour leur compte, </w:t>
      </w:r>
      <w:r>
        <w:t>dès le stade de la remise des éléments de candidature.</w:t>
      </w:r>
    </w:p>
    <w:p w:rsidR="002C06B7" w:rsidRDefault="00C33788">
      <w:pPr>
        <w:numPr>
          <w:ilvl w:val="0"/>
          <w:numId w:val="18"/>
        </w:numPr>
        <w:tabs>
          <w:tab w:val="left" w:pos="284"/>
        </w:tabs>
        <w:ind w:left="0" w:firstLine="0"/>
        <w:rPr>
          <w:b/>
          <w:smallCaps/>
          <w:szCs w:val="22"/>
        </w:rPr>
      </w:pPr>
      <w:r>
        <w:rPr>
          <w:b/>
          <w:smallCaps/>
          <w:szCs w:val="22"/>
        </w:rPr>
        <w:t>Information relative à la capacité économique et financière du candidat</w:t>
      </w:r>
    </w:p>
    <w:p w:rsidR="002C06B7" w:rsidRDefault="00C33788">
      <w:pPr>
        <w:rPr>
          <w:szCs w:val="22"/>
        </w:rPr>
      </w:pPr>
      <w:r>
        <w:rPr>
          <w:szCs w:val="22"/>
        </w:rPr>
        <w:t>Le candidat transmet une déclaration concernant le chiffre d’affaires global réalisé au cours des trois derniers exercices disponibles.</w:t>
      </w:r>
    </w:p>
    <w:p w:rsidR="002C06B7" w:rsidRDefault="00C33788">
      <w:pPr>
        <w:rPr>
          <w:szCs w:val="22"/>
        </w:rPr>
      </w:pPr>
      <w:r>
        <w:rPr>
          <w:szCs w:val="22"/>
        </w:rPr>
        <w:t xml:space="preserve">Pour ce faire, le candidat renseigne le formulaire DC2. </w:t>
      </w:r>
    </w:p>
    <w:p w:rsidR="002C06B7" w:rsidRDefault="00C33788">
      <w:pPr>
        <w:rPr>
          <w:szCs w:val="22"/>
        </w:rPr>
      </w:pPr>
      <w:r>
        <w:rPr>
          <w:szCs w:val="22"/>
        </w:rPr>
        <w:t>Aucun niveau spécifique minimal n’est exigé au titre de la capacité économique et financière.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629"/>
      </w:tblGrid>
      <w:tr w:rsidR="002C06B7">
        <w:trPr>
          <w:jc w:val="center"/>
        </w:trPr>
        <w:tc>
          <w:tcPr>
            <w:tcW w:w="5000" w:type="pct"/>
            <w:shd w:val="clear" w:color="auto" w:fill="D9D9D9"/>
            <w:vAlign w:val="center"/>
          </w:tcPr>
          <w:p w:rsidR="002C06B7" w:rsidRDefault="00C33788">
            <w:pPr>
              <w:rPr>
                <w:b/>
                <w:szCs w:val="22"/>
              </w:rPr>
            </w:pPr>
            <w:r>
              <w:rPr>
                <w:b/>
                <w:szCs w:val="22"/>
              </w:rPr>
              <w:t>Conformément à l’article 2</w:t>
            </w:r>
            <w:r>
              <w:rPr>
                <w:rStyle w:val="lev"/>
                <w:szCs w:val="22"/>
              </w:rPr>
              <w:t xml:space="preserve"> de l’arrêté du 22 mars 2019 fixant la liste des renseignements et des documents pouvant être demandés aux candidats aux marchés publics</w:t>
            </w:r>
            <w:r>
              <w:rPr>
                <w:b/>
                <w:szCs w:val="22"/>
              </w:rPr>
              <w:t>, le candidat qui n’est pas en mesure de fournir les éléments demandés ci-dessus, notamment en raison de sa date récente de création, peut prouver sa capacité économique et financière par tout autre moyen considéré comme approprié par le pouvoir adjudicateur.</w:t>
            </w:r>
          </w:p>
        </w:tc>
      </w:tr>
    </w:tbl>
    <w:p w:rsidR="002C06B7" w:rsidRDefault="002C06B7">
      <w:pPr>
        <w:pStyle w:val="2Centr"/>
      </w:pPr>
    </w:p>
    <w:p w:rsidR="002C06B7" w:rsidRDefault="00C33788">
      <w:pPr>
        <w:numPr>
          <w:ilvl w:val="0"/>
          <w:numId w:val="18"/>
        </w:numPr>
        <w:tabs>
          <w:tab w:val="left" w:pos="284"/>
        </w:tabs>
        <w:ind w:left="0" w:firstLine="0"/>
        <w:rPr>
          <w:b/>
          <w:smallCaps/>
          <w:szCs w:val="22"/>
        </w:rPr>
      </w:pPr>
      <w:r>
        <w:rPr>
          <w:b/>
          <w:smallCaps/>
          <w:szCs w:val="22"/>
        </w:rPr>
        <w:t>Information relative aux capacités techniques du candidat</w:t>
      </w:r>
    </w:p>
    <w:p w:rsidR="002C06B7" w:rsidRDefault="00C33788">
      <w:pPr>
        <w:rPr>
          <w:szCs w:val="22"/>
        </w:rPr>
      </w:pPr>
      <w:r>
        <w:rPr>
          <w:szCs w:val="22"/>
        </w:rPr>
        <w:t>Au titre des capacités techniques, le candidat transmet une déclaration indiquant les effectifs moyens annuels et l’importance du personnel d’encadrement pour chacune des trois dernières années.</w:t>
      </w:r>
    </w:p>
    <w:p w:rsidR="002C06B7" w:rsidRDefault="00C33788">
      <w:pPr>
        <w:rPr>
          <w:szCs w:val="22"/>
        </w:rPr>
      </w:pPr>
      <w:r>
        <w:rPr>
          <w:szCs w:val="22"/>
        </w:rPr>
        <w:t>Aucun niveau spécifique minimal n’est exigé au titre des capacités techniques.</w:t>
      </w:r>
    </w:p>
    <w:p w:rsidR="002C06B7" w:rsidRDefault="00C33788">
      <w:pPr>
        <w:spacing w:before="0" w:after="0"/>
        <w:jc w:val="left"/>
        <w:rPr>
          <w:b/>
          <w:smallCaps/>
          <w:szCs w:val="22"/>
        </w:rPr>
      </w:pPr>
      <w:r>
        <w:rPr>
          <w:b/>
          <w:smallCaps/>
          <w:szCs w:val="22"/>
        </w:rPr>
        <w:br w:type="page" w:clear="all"/>
      </w:r>
    </w:p>
    <w:p w:rsidR="002C06B7" w:rsidRDefault="00C33788">
      <w:pPr>
        <w:numPr>
          <w:ilvl w:val="0"/>
          <w:numId w:val="18"/>
        </w:numPr>
        <w:tabs>
          <w:tab w:val="left" w:pos="284"/>
        </w:tabs>
        <w:ind w:left="0" w:firstLine="0"/>
        <w:rPr>
          <w:b/>
          <w:smallCaps/>
          <w:szCs w:val="22"/>
        </w:rPr>
      </w:pPr>
      <w:r>
        <w:rPr>
          <w:b/>
          <w:smallCaps/>
          <w:szCs w:val="22"/>
        </w:rPr>
        <w:lastRenderedPageBreak/>
        <w:t>Information relative aux capacités professionnelles du candidat</w:t>
      </w:r>
    </w:p>
    <w:p w:rsidR="002C06B7" w:rsidRDefault="00C33788">
      <w:pPr>
        <w:rPr>
          <w:szCs w:val="22"/>
        </w:rPr>
      </w:pPr>
      <w:r>
        <w:rPr>
          <w:szCs w:val="22"/>
        </w:rPr>
        <w:t xml:space="preserve">Au titre des capacités professionnelles, le candidat transmet la </w:t>
      </w:r>
      <w:r>
        <w:rPr>
          <w:rStyle w:val="surlignage"/>
          <w:szCs w:val="22"/>
        </w:rPr>
        <w:t>liste</w:t>
      </w:r>
      <w:r>
        <w:rPr>
          <w:szCs w:val="22"/>
        </w:rPr>
        <w:t xml:space="preserve"> des principaux services fournis au cours des trois dernières années en précisant le montant, la date et le destinataire public ou privé. Les prestations de services sont prouvées par des attestations du destinataire ou, à défaut, par une déclaration de l'opérateur économique. </w:t>
      </w:r>
    </w:p>
    <w:p w:rsidR="002C06B7" w:rsidRPr="00D16314" w:rsidRDefault="00C33788">
      <w:pPr>
        <w:rPr>
          <w:szCs w:val="22"/>
        </w:rPr>
      </w:pPr>
      <w:r>
        <w:rPr>
          <w:szCs w:val="22"/>
        </w:rPr>
        <w:t>Aucun niveau spécifique minimal n’est exigé au titre des capacités professionnelles.</w:t>
      </w:r>
    </w:p>
    <w:p w:rsidR="002C06B7" w:rsidRDefault="00C33788">
      <w:pPr>
        <w:rPr>
          <w:b/>
          <w:smallCaps/>
          <w:szCs w:val="22"/>
        </w:rPr>
      </w:pPr>
      <w:r>
        <w:rPr>
          <w:b/>
          <w:smallCaps/>
          <w:szCs w:val="22"/>
        </w:rPr>
        <w:t>Présentation des autres opérateurs économiques</w:t>
      </w:r>
    </w:p>
    <w:p w:rsidR="002C06B7" w:rsidRDefault="00C33788">
      <w:pPr>
        <w:rPr>
          <w:szCs w:val="22"/>
        </w:rPr>
      </w:pPr>
      <w:r>
        <w:rPr>
          <w:szCs w:val="22"/>
        </w:rPr>
        <w:t xml:space="preserve">Le candidat qui souhaite se prévaloir des capacités d'autres opérateurs économiques doit fournir les mêmes documents que ceux exigés de lui par le pouvoir adjudicateur concernant ces opérateurs. De plus, le candidat produit un engagement écrit de ces opérateurs justifiant qu'il disposera de leurs capacités pour l'exécution du présent accord-cadre. </w:t>
      </w:r>
    </w:p>
    <w:p w:rsidR="002C06B7" w:rsidRDefault="00C33788">
      <w:pPr>
        <w:rPr>
          <w:szCs w:val="22"/>
        </w:rPr>
      </w:pPr>
      <w:r>
        <w:rPr>
          <w:szCs w:val="22"/>
        </w:rPr>
        <w:t>Les cotraitants fournissent le formulaire DC1 et le formulaire DC2.</w:t>
      </w:r>
    </w:p>
    <w:p w:rsidR="002C06B7" w:rsidRDefault="00C33788">
      <w:pPr>
        <w:rPr>
          <w:szCs w:val="22"/>
        </w:rPr>
      </w:pPr>
      <w:r>
        <w:rPr>
          <w:szCs w:val="22"/>
        </w:rPr>
        <w:t>Les sous-traitants, s'ils sont déclarés au stade de la passation, fournissent le formulaire DC2.</w:t>
      </w:r>
    </w:p>
    <w:p w:rsidR="002C06B7" w:rsidRDefault="00C33788">
      <w:pPr>
        <w:pStyle w:val="Titre4"/>
      </w:pPr>
      <w:r>
        <w:t>2</w:t>
      </w:r>
      <w:r>
        <w:rPr>
          <w:vertAlign w:val="superscript"/>
        </w:rPr>
        <w:t>ème</w:t>
      </w:r>
      <w:r>
        <w:t xml:space="preserve"> modalité : le soumissionnaire présente sa candidature sous la forme d'un document unique de marché européen (DUME)</w:t>
      </w:r>
    </w:p>
    <w:p w:rsidR="002C06B7" w:rsidRDefault="00C33788">
      <w:pPr>
        <w:rPr>
          <w:szCs w:val="22"/>
        </w:rPr>
      </w:pPr>
      <w:r>
        <w:rPr>
          <w:bCs/>
          <w:szCs w:val="22"/>
        </w:rPr>
        <w:t xml:space="preserve">En application de l’article R. 2143-4 du </w:t>
      </w:r>
      <w:r>
        <w:rPr>
          <w:szCs w:val="22"/>
        </w:rPr>
        <w:t>Code de la commande publique, le candidat peut présenter sa candidature sous la forme d’un document unique de marché européen (ci-après DUME).</w:t>
      </w:r>
    </w:p>
    <w:p w:rsidR="002C06B7" w:rsidRDefault="00C33788">
      <w:pPr>
        <w:rPr>
          <w:szCs w:val="22"/>
        </w:rPr>
      </w:pPr>
      <w:r>
        <w:rPr>
          <w:bCs/>
          <w:szCs w:val="22"/>
        </w:rPr>
        <w:t xml:space="preserve">Dans ce cas, </w:t>
      </w:r>
      <w:r>
        <w:rPr>
          <w:szCs w:val="22"/>
        </w:rPr>
        <w:t xml:space="preserve">le soumissionnaire transmet à le pouvoir adjudicateur un formulaire établi conformément au modèle fixé en annexe 2 du </w:t>
      </w:r>
      <w:r>
        <w:rPr>
          <w:szCs w:val="22"/>
          <w:lang w:eastAsia="en-US"/>
        </w:rPr>
        <w:t>règlement d’exécution (UE) 2016/7 de la Commission du 5 janvier 2016 établissant le formulaire type pour le document unique de marché européen</w:t>
      </w:r>
    </w:p>
    <w:p w:rsidR="002C06B7" w:rsidRDefault="00C33788">
      <w:pPr>
        <w:rPr>
          <w:szCs w:val="22"/>
        </w:rPr>
      </w:pPr>
      <w:r>
        <w:rPr>
          <w:szCs w:val="22"/>
        </w:rPr>
        <w:t>Le DUME doit être rédigé en français.</w:t>
      </w:r>
    </w:p>
    <w:p w:rsidR="002C06B7" w:rsidRDefault="00C33788">
      <w:pPr>
        <w:spacing w:after="240"/>
        <w:rPr>
          <w:szCs w:val="22"/>
        </w:rPr>
      </w:pPr>
      <w:r>
        <w:rPr>
          <w:szCs w:val="22"/>
        </w:rPr>
        <w:t>Le candidat peut se limiter à indiquer dans le DUME qu'il dispose de l'aptitude et des capacités requises sans fournir d'informations particulières sur celles-ci.</w:t>
      </w:r>
    </w:p>
    <w:p w:rsidR="002C06B7" w:rsidRDefault="00C33788">
      <w:pPr>
        <w:spacing w:before="240"/>
        <w:rPr>
          <w:szCs w:val="22"/>
        </w:rPr>
      </w:pPr>
      <w:r>
        <w:rPr>
          <w:szCs w:val="22"/>
        </w:rPr>
        <w:t>Le candidat peut réutiliser un DUME qui a déjà été utilisé dans une procédure antérieure, à condition de confirmer que les informations qui y figurent sont toujours valables.</w:t>
      </w:r>
    </w:p>
    <w:p w:rsidR="002C06B7" w:rsidRDefault="002C06B7">
      <w:pPr>
        <w:spacing w:before="0" w:after="0"/>
        <w:rPr>
          <w:rFonts w:eastAsia="Calibri" w:cs="Calibri"/>
          <w:i/>
          <w:iCs/>
          <w:szCs w:val="22"/>
          <w:u w:val="single"/>
          <w:lang w:eastAsia="en-US"/>
        </w:rPr>
      </w:pPr>
    </w:p>
    <w:p w:rsidR="002C06B7" w:rsidRDefault="00C33788">
      <w:pPr>
        <w:spacing w:before="0" w:after="0"/>
        <w:rPr>
          <w:rFonts w:eastAsia="Calibri" w:cs="Calibri"/>
          <w:i/>
          <w:iCs/>
          <w:szCs w:val="22"/>
          <w:lang w:eastAsia="en-US"/>
        </w:rPr>
      </w:pPr>
      <w:r>
        <w:rPr>
          <w:rFonts w:eastAsia="Calibri" w:cs="Calibri"/>
          <w:i/>
          <w:iCs/>
          <w:szCs w:val="22"/>
          <w:u w:val="single"/>
          <w:lang w:eastAsia="en-US"/>
        </w:rPr>
        <w:t>NB :</w:t>
      </w:r>
      <w:r>
        <w:rPr>
          <w:rFonts w:eastAsia="Calibri" w:cs="Calibri"/>
          <w:i/>
          <w:iCs/>
          <w:szCs w:val="22"/>
          <w:lang w:eastAsia="en-US"/>
        </w:rPr>
        <w:t xml:space="preserve"> en cas de groupement ou de sous-traitance, </w:t>
      </w:r>
      <w:r>
        <w:rPr>
          <w:rFonts w:eastAsia="Calibri" w:cs="Calibri"/>
          <w:b/>
          <w:i/>
          <w:iCs/>
          <w:szCs w:val="22"/>
          <w:lang w:eastAsia="en-US"/>
        </w:rPr>
        <w:t>chaque membre ou sous-traitant</w:t>
      </w:r>
      <w:r>
        <w:rPr>
          <w:rFonts w:eastAsia="Calibri" w:cs="Calibri"/>
          <w:i/>
          <w:iCs/>
          <w:szCs w:val="22"/>
          <w:lang w:eastAsia="en-US"/>
        </w:rPr>
        <w:t xml:space="preserve"> doit fournir soit un </w:t>
      </w:r>
      <w:r>
        <w:rPr>
          <w:rFonts w:eastAsia="Calibri" w:cs="Calibri"/>
          <w:b/>
          <w:i/>
          <w:iCs/>
          <w:szCs w:val="22"/>
          <w:lang w:eastAsia="en-US"/>
        </w:rPr>
        <w:t>DUME distinct</w:t>
      </w:r>
      <w:r>
        <w:rPr>
          <w:rFonts w:eastAsia="Calibri" w:cs="Calibri"/>
          <w:i/>
          <w:iCs/>
          <w:szCs w:val="22"/>
          <w:lang w:eastAsia="en-US"/>
        </w:rPr>
        <w:t xml:space="preserve"> </w:t>
      </w:r>
      <w:r>
        <w:rPr>
          <w:rFonts w:eastAsia="Calibri" w:cs="Calibri"/>
          <w:b/>
          <w:i/>
          <w:iCs/>
          <w:szCs w:val="22"/>
          <w:lang w:eastAsia="en-US"/>
        </w:rPr>
        <w:t>soit les pièces référencées aux points précités</w:t>
      </w:r>
      <w:r>
        <w:rPr>
          <w:rFonts w:eastAsia="Calibri" w:cs="Calibri"/>
          <w:i/>
          <w:iCs/>
          <w:szCs w:val="22"/>
          <w:lang w:eastAsia="en-US"/>
        </w:rPr>
        <w:t xml:space="preserve"> Toutefois, il est rappelé aux candidats que l'appréciation des capacités professionnelles, techniques et financières des membres du groupement se fait de manière globale.</w:t>
      </w:r>
    </w:p>
    <w:p w:rsidR="002C06B7" w:rsidRDefault="00C33788">
      <w:pPr>
        <w:keepNext/>
        <w:numPr>
          <w:ilvl w:val="2"/>
          <w:numId w:val="19"/>
        </w:numPr>
        <w:tabs>
          <w:tab w:val="clear" w:pos="1440"/>
          <w:tab w:val="num" w:pos="360"/>
        </w:tabs>
        <w:spacing w:before="240"/>
        <w:ind w:left="0" w:firstLine="0"/>
        <w:outlineLvl w:val="2"/>
        <w:rPr>
          <w:rFonts w:eastAsia="MS Mincho"/>
          <w:b/>
          <w:bCs/>
          <w:szCs w:val="26"/>
          <w:u w:val="single"/>
        </w:rPr>
      </w:pPr>
      <w:bookmarkStart w:id="79" w:name="_Toc200112988"/>
      <w:bookmarkStart w:id="80" w:name="_Toc198742636"/>
      <w:r>
        <w:rPr>
          <w:rFonts w:eastAsia="MS Mincho"/>
          <w:b/>
          <w:bCs/>
          <w:szCs w:val="26"/>
          <w:u w:val="single"/>
        </w:rPr>
        <w:t>Dispositions communes</w:t>
      </w:r>
      <w:bookmarkEnd w:id="79"/>
    </w:p>
    <w:p w:rsidR="002C06B7" w:rsidRDefault="00C33788">
      <w:pPr>
        <w:numPr>
          <w:ilvl w:val="0"/>
          <w:numId w:val="18"/>
        </w:numPr>
        <w:tabs>
          <w:tab w:val="left" w:pos="284"/>
        </w:tabs>
        <w:ind w:left="0" w:firstLine="0"/>
        <w:rPr>
          <w:b/>
          <w:smallCaps/>
          <w:szCs w:val="22"/>
        </w:rPr>
      </w:pPr>
      <w:bookmarkStart w:id="81" w:name="_Ref341079598"/>
      <w:r>
        <w:rPr>
          <w:b/>
          <w:smallCaps/>
          <w:szCs w:val="22"/>
        </w:rPr>
        <w:t xml:space="preserve">Représentation </w:t>
      </w:r>
      <w:bookmarkEnd w:id="81"/>
      <w:r>
        <w:rPr>
          <w:b/>
          <w:smallCaps/>
          <w:szCs w:val="22"/>
        </w:rPr>
        <w:t>du groupement</w:t>
      </w:r>
    </w:p>
    <w:p w:rsidR="002C06B7" w:rsidRDefault="00C33788">
      <w:pPr>
        <w:rPr>
          <w:szCs w:val="22"/>
        </w:rPr>
      </w:pPr>
      <w:r>
        <w:rPr>
          <w:szCs w:val="22"/>
          <w:lang w:eastAsia="en-US"/>
        </w:rPr>
        <w:t xml:space="preserve">Aux termes de l’article R. 2142-23 du </w:t>
      </w:r>
      <w:r>
        <w:rPr>
          <w:szCs w:val="22"/>
        </w:rPr>
        <w:t>Code de la commande publique</w:t>
      </w:r>
      <w:r>
        <w:rPr>
          <w:szCs w:val="22"/>
          <w:lang w:eastAsia="en-US"/>
        </w:rPr>
        <w:t>, «</w:t>
      </w:r>
      <w:r>
        <w:rPr>
          <w:rFonts w:cs="Calibri"/>
          <w:szCs w:val="22"/>
          <w:lang w:eastAsia="en-US"/>
        </w:rPr>
        <w:t> </w:t>
      </w:r>
      <w:r>
        <w:rPr>
          <w:i/>
          <w:szCs w:val="22"/>
          <w:lang w:eastAsia="en-US"/>
        </w:rPr>
        <w:t>l</w:t>
      </w:r>
      <w:r>
        <w:rPr>
          <w:i/>
          <w:szCs w:val="22"/>
        </w:rPr>
        <w:t>es candidatures et les offres sont présentées soit par l'ensemble des membres du groupement, soit par un mandataire qui justifie des habilitations nécessaires pour représenter les autres membres du groupement</w:t>
      </w:r>
      <w:r>
        <w:rPr>
          <w:szCs w:val="22"/>
        </w:rPr>
        <w:t>.</w:t>
      </w:r>
      <w:r>
        <w:rPr>
          <w:rFonts w:cs="Calibri"/>
          <w:szCs w:val="22"/>
        </w:rPr>
        <w:t> </w:t>
      </w:r>
      <w:r>
        <w:rPr>
          <w:rFonts w:cs="Marianne"/>
          <w:szCs w:val="22"/>
        </w:rPr>
        <w:t>»</w:t>
      </w:r>
    </w:p>
    <w:p w:rsidR="002C06B7" w:rsidRDefault="00C33788">
      <w:pPr>
        <w:rPr>
          <w:szCs w:val="22"/>
        </w:rPr>
      </w:pPr>
      <w:r>
        <w:rPr>
          <w:szCs w:val="22"/>
        </w:rPr>
        <w:t xml:space="preserve">Conformément à l’article R. 2142-24 du Code de la commande publique, l’un des membres du groupement est désigné dans la candidature et dans l’acte d’engagement comme </w:t>
      </w:r>
      <w:r>
        <w:rPr>
          <w:szCs w:val="22"/>
        </w:rPr>
        <w:lastRenderedPageBreak/>
        <w:t xml:space="preserve">mandataire. Il représente l’ensemble des membres vis-à-vis du représentant du pouvoir adjudicateur et coordonne les prestations des membres du groupement. </w:t>
      </w:r>
    </w:p>
    <w:p w:rsidR="002C06B7" w:rsidRDefault="00C33788">
      <w:pPr>
        <w:rPr>
          <w:b/>
          <w:szCs w:val="22"/>
          <w:lang w:eastAsia="en-US"/>
        </w:rPr>
      </w:pPr>
      <w:r>
        <w:rPr>
          <w:b/>
          <w:szCs w:val="22"/>
          <w:lang w:eastAsia="en-US"/>
        </w:rPr>
        <w:t>Un même opérateur peut présenter plusieurs offres en agissant à la fois en qualité de candidat individuel ou de membre d'un ou plusieurs groupements concurrents, à condition, toutefois, de ne pas être plus d’une fois mandataire.</w:t>
      </w:r>
    </w:p>
    <w:p w:rsidR="002C06B7" w:rsidRDefault="00C33788">
      <w:pPr>
        <w:tabs>
          <w:tab w:val="left" w:pos="5745"/>
        </w:tabs>
        <w:spacing w:before="0" w:after="0"/>
        <w:rPr>
          <w:b/>
          <w:szCs w:val="22"/>
          <w:lang w:eastAsia="en-US"/>
        </w:rPr>
      </w:pPr>
      <w:r>
        <w:rPr>
          <w:b/>
          <w:szCs w:val="22"/>
          <w:lang w:eastAsia="en-US"/>
        </w:rPr>
        <w:t>Une même personne ne peut représenter plus d’un candidat pour un même marché.</w:t>
      </w:r>
    </w:p>
    <w:p w:rsidR="002C06B7" w:rsidRDefault="00C33788">
      <w:pPr>
        <w:numPr>
          <w:ilvl w:val="0"/>
          <w:numId w:val="18"/>
        </w:numPr>
        <w:tabs>
          <w:tab w:val="left" w:pos="284"/>
        </w:tabs>
        <w:ind w:left="0" w:firstLine="0"/>
        <w:rPr>
          <w:b/>
          <w:smallCaps/>
          <w:szCs w:val="22"/>
        </w:rPr>
      </w:pPr>
      <w:r>
        <w:rPr>
          <w:b/>
          <w:smallCaps/>
          <w:szCs w:val="22"/>
        </w:rPr>
        <w:t>Forme du groupement</w:t>
      </w:r>
    </w:p>
    <w:p w:rsidR="002C06B7" w:rsidRDefault="00C33788">
      <w:pPr>
        <w:rPr>
          <w:szCs w:val="22"/>
        </w:rPr>
      </w:pPr>
      <w:r>
        <w:rPr>
          <w:szCs w:val="22"/>
        </w:rPr>
        <w:t xml:space="preserve">Conformément aux articles R. 2142-19 et R. 2142-20 du Code de la commande publique, l’entreprise peut présenter sa candidature ou son offre sous forme de groupement solidaire ou de groupement conjoint, sous réserve du respect des règles relatives à la liberté des prix et à la concurrence. </w:t>
      </w:r>
    </w:p>
    <w:p w:rsidR="002C06B7" w:rsidRDefault="00C33788">
      <w:pPr>
        <w:rPr>
          <w:szCs w:val="22"/>
        </w:rPr>
      </w:pPr>
      <w:r>
        <w:rPr>
          <w:szCs w:val="22"/>
        </w:rPr>
        <w:t xml:space="preserve">La forme du groupement n'est pas imposée. Cependant, conformément à l’article R. 2142-24 du Code de la commande publique, </w:t>
      </w:r>
      <w:r>
        <w:rPr>
          <w:b/>
          <w:szCs w:val="22"/>
        </w:rPr>
        <w:t>en cas de groupement conjoint, le mandataire est solidaire</w:t>
      </w:r>
      <w:r>
        <w:rPr>
          <w:szCs w:val="22"/>
        </w:rPr>
        <w:t xml:space="preserve"> pour l’exécution de l’accord-cadre de chacun des membres du groupement pour ses obligations contractuelles à l’égard de l’acheteur. </w:t>
      </w:r>
    </w:p>
    <w:p w:rsidR="002C06B7" w:rsidRDefault="00C33788">
      <w:pPr>
        <w:numPr>
          <w:ilvl w:val="0"/>
          <w:numId w:val="18"/>
        </w:numPr>
        <w:tabs>
          <w:tab w:val="left" w:pos="284"/>
        </w:tabs>
        <w:ind w:left="0" w:firstLine="0"/>
        <w:rPr>
          <w:b/>
          <w:smallCaps/>
          <w:szCs w:val="22"/>
        </w:rPr>
      </w:pPr>
      <w:r>
        <w:rPr>
          <w:b/>
          <w:smallCaps/>
          <w:szCs w:val="22"/>
        </w:rPr>
        <w:t>Modification du groupement</w:t>
      </w:r>
    </w:p>
    <w:p w:rsidR="002C06B7" w:rsidRDefault="00C33788">
      <w:pPr>
        <w:rPr>
          <w:szCs w:val="22"/>
        </w:rPr>
      </w:pPr>
      <w:r>
        <w:rPr>
          <w:szCs w:val="22"/>
        </w:rPr>
        <w:t>Sans préjudice de l’article L. 2141-13 du Code de la commande publique, la composition du groupement ne peut pas être modifiée entre la remise de la candidature et la date de signature de l’accord-cadre, sous réserve des cas particuliers prévus à l’article R. 2142-26 du Code de la commande publique.</w:t>
      </w:r>
    </w:p>
    <w:p w:rsidR="002C06B7" w:rsidRDefault="00C33788">
      <w:pPr>
        <w:pStyle w:val="Titre3"/>
        <w:rPr>
          <w:rFonts w:ascii="Marianne" w:hAnsi="Marianne"/>
        </w:rPr>
      </w:pPr>
      <w:bookmarkStart w:id="82" w:name="_Toc202861570"/>
      <w:r>
        <w:rPr>
          <w:rFonts w:ascii="Marianne" w:hAnsi="Marianne"/>
        </w:rPr>
        <w:t>Précisions</w:t>
      </w:r>
      <w:bookmarkEnd w:id="80"/>
      <w:bookmarkEnd w:id="82"/>
    </w:p>
    <w:p w:rsidR="002C06B7" w:rsidRDefault="00C33788">
      <w:pPr>
        <w:spacing w:after="100" w:afterAutospacing="1"/>
        <w:rPr>
          <w:szCs w:val="22"/>
        </w:rPr>
      </w:pPr>
      <w:r>
        <w:rPr>
          <w:szCs w:val="22"/>
        </w:rPr>
        <w:t>En vertu de l’article R. 2143-13 du Code de la commande publique, les candidats ne sont pas tenus de fournir les documents justificatifs et moyens de preuve que l'acheteur peut obtenir directement par le biais :</w:t>
      </w:r>
    </w:p>
    <w:p w:rsidR="002C06B7" w:rsidRDefault="00C33788">
      <w:pPr>
        <w:spacing w:after="100" w:afterAutospacing="1"/>
        <w:rPr>
          <w:szCs w:val="22"/>
        </w:rPr>
      </w:pPr>
      <w:r>
        <w:rPr>
          <w:szCs w:val="22"/>
        </w:rPr>
        <w:t>1° d'un système électronique de mise à disposition d'informations administré par un organisme officiel à condition que l'accès à celui-ci soit gratuit et, le cas échéant, que figurent dans le dossier de candidature toutes les informations nécessaires à sa consultation ;</w:t>
      </w:r>
    </w:p>
    <w:p w:rsidR="002C06B7" w:rsidRDefault="00C33788">
      <w:pPr>
        <w:spacing w:after="100" w:afterAutospacing="1"/>
        <w:rPr>
          <w:szCs w:val="22"/>
        </w:rPr>
      </w:pPr>
      <w:r>
        <w:rPr>
          <w:szCs w:val="22"/>
        </w:rPr>
        <w:t>2° d'un espace de stockage numérique, à condition que figurent dans le dossier de candidature toutes les informations nécessaires à sa consultation et que l'accès à ceux-ci soit gratuit.</w:t>
      </w:r>
    </w:p>
    <w:p w:rsidR="002C06B7" w:rsidRDefault="00C33788">
      <w:pPr>
        <w:rPr>
          <w:szCs w:val="22"/>
        </w:rPr>
      </w:pPr>
      <w:r>
        <w:rPr>
          <w:szCs w:val="22"/>
        </w:rPr>
        <w:t>En outre, conformément à l'article R. 2143-14 du Code de la commande publique, les opérateurs économiques ne sont pas tenus de fournir les documents justificatifs et moyens de preuve qu’ils ont déjà transmis au pouvoir adjudicateur dans le cadre d'une précédente consultation et qui demeurent valables. Il relève de la responsabilité des opérateurs économiques de s’assurer de la validité de ces informations à la date de remise des offres fixée dans le présent document.</w:t>
      </w:r>
    </w:p>
    <w:p w:rsidR="002C06B7" w:rsidRDefault="00C33788">
      <w:pPr>
        <w:pStyle w:val="Titre3"/>
        <w:rPr>
          <w:rFonts w:ascii="Marianne" w:hAnsi="Marianne"/>
        </w:rPr>
      </w:pPr>
      <w:bookmarkStart w:id="83" w:name="_Toc198742637"/>
      <w:bookmarkStart w:id="84" w:name="_Toc202861571"/>
      <w:r>
        <w:rPr>
          <w:rFonts w:ascii="Marianne" w:hAnsi="Marianne"/>
        </w:rPr>
        <w:t>Sous-traitance</w:t>
      </w:r>
      <w:bookmarkEnd w:id="83"/>
      <w:bookmarkEnd w:id="84"/>
    </w:p>
    <w:p w:rsidR="002C06B7" w:rsidRDefault="00C33788">
      <w:pPr>
        <w:rPr>
          <w:szCs w:val="22"/>
          <w:lang w:eastAsia="en-US"/>
        </w:rPr>
      </w:pPr>
      <w:r>
        <w:rPr>
          <w:szCs w:val="22"/>
          <w:lang w:eastAsia="en-US"/>
        </w:rPr>
        <w:t xml:space="preserve">Dans les conditions prévues par les articles L. 2193-1 à L. 2193-14 du </w:t>
      </w:r>
      <w:r>
        <w:rPr>
          <w:szCs w:val="22"/>
        </w:rPr>
        <w:t>Code de la commande publique</w:t>
      </w:r>
      <w:r>
        <w:rPr>
          <w:szCs w:val="22"/>
          <w:lang w:eastAsia="en-US"/>
        </w:rPr>
        <w:t>, le titulaire peut sous-traiter l'exécution d’une partie de la prestation de l’accord-</w:t>
      </w:r>
      <w:r>
        <w:rPr>
          <w:szCs w:val="22"/>
          <w:lang w:eastAsia="en-US"/>
        </w:rPr>
        <w:lastRenderedPageBreak/>
        <w:t xml:space="preserve">cadre à condition d'avoir obtenu du pouvoir adjudicateur l'acceptation de chaque sous-traitant et l'agrément de ses conditions de paiement. </w:t>
      </w:r>
    </w:p>
    <w:p w:rsidR="002C06B7" w:rsidRDefault="00C33788">
      <w:pPr>
        <w:rPr>
          <w:szCs w:val="22"/>
          <w:lang w:eastAsia="en-US"/>
        </w:rPr>
      </w:pPr>
      <w:r>
        <w:rPr>
          <w:szCs w:val="22"/>
          <w:lang w:eastAsia="en-US"/>
        </w:rPr>
        <w:t>L'acceptation de chaque sous-traitant et l'agrément de ses conditions de paiement sont constatés par un acte spécial signé des deux parties dans les conditions définies aux articles R. 2193-1 à R. 2193-9 du Code de la commande publique.</w:t>
      </w:r>
    </w:p>
    <w:p w:rsidR="002C06B7" w:rsidRDefault="00C33788">
      <w:pPr>
        <w:rPr>
          <w:szCs w:val="22"/>
          <w:lang w:eastAsia="en-US"/>
        </w:rPr>
      </w:pPr>
      <w:r>
        <w:rPr>
          <w:szCs w:val="22"/>
          <w:lang w:eastAsia="en-US"/>
        </w:rPr>
        <w:t>Si, après vérification des justifications fournies par le candidat, le pouvoir adjudicateur établit que le montant des prestations sous-traitées est anormalement bas, il rejette l'offre lorsque la demande de sous-traitance intervient au moment du dépôt de l'offre ou n'accepte pas le sous-traitant proposé lorsque la demande de sous-traitance est présentée après le dépôt de l'offre, dans des conditions fixées par les articles R. 2152-3 à R. 2152-5 du Code de la commande publique.</w:t>
      </w:r>
      <w:r>
        <w:rPr>
          <w:szCs w:val="22"/>
          <w:lang w:eastAsia="en-US"/>
        </w:rPr>
        <w:tab/>
      </w:r>
      <w:r>
        <w:rPr>
          <w:szCs w:val="22"/>
          <w:lang w:eastAsia="en-US"/>
        </w:rPr>
        <w:br/>
      </w:r>
    </w:p>
    <w:p w:rsidR="002C06B7" w:rsidRDefault="00C33788">
      <w:pPr>
        <w:pStyle w:val="Titre2"/>
      </w:pPr>
      <w:bookmarkStart w:id="85" w:name="_Toc198742638"/>
      <w:bookmarkStart w:id="86" w:name="_Toc202861572"/>
      <w:r>
        <w:t>Dossier offre</w:t>
      </w:r>
      <w:bookmarkEnd w:id="85"/>
      <w:bookmarkEnd w:id="86"/>
    </w:p>
    <w:p w:rsidR="002C06B7" w:rsidRDefault="00C33788">
      <w:pPr>
        <w:rPr>
          <w:szCs w:val="22"/>
        </w:rPr>
      </w:pPr>
      <w:bookmarkStart w:id="87" w:name="_Toc413079474"/>
      <w:r>
        <w:rPr>
          <w:szCs w:val="22"/>
        </w:rPr>
        <w:t>Le dossier offre du candidat comprend au minimum les éléments suivants.</w:t>
      </w:r>
    </w:p>
    <w:p w:rsidR="002C06B7" w:rsidRDefault="00C33788">
      <w:pPr>
        <w:pBdr>
          <w:top w:val="single" w:sz="4" w:space="4" w:color="000000"/>
          <w:left w:val="single" w:sz="4" w:space="4" w:color="000000"/>
          <w:bottom w:val="single" w:sz="4" w:space="4" w:color="000000"/>
          <w:right w:val="single" w:sz="4" w:space="4" w:color="000000"/>
        </w:pBdr>
        <w:shd w:val="clear" w:color="auto" w:fill="D9D9D9"/>
        <w:rPr>
          <w:szCs w:val="22"/>
        </w:rPr>
      </w:pPr>
      <w:r>
        <w:rPr>
          <w:szCs w:val="22"/>
        </w:rPr>
        <w:t xml:space="preserve">Conformément aux indications de la direction des affaires juridiques (DAJ) figurant dans la notice explicative du formulaire ATTRI1, il n’est pas fait obligation aux candidats de fournir l’acte d’engagement lors du dépôt de leur offre, ce document pouvant n’être produit qu’au terme de la procédure afin de formaliser l’accord-cadre conclu. </w:t>
      </w:r>
    </w:p>
    <w:p w:rsidR="002C06B7" w:rsidRDefault="00C33788">
      <w:pPr>
        <w:pBdr>
          <w:top w:val="single" w:sz="4" w:space="4" w:color="000000"/>
          <w:left w:val="single" w:sz="4" w:space="4" w:color="000000"/>
          <w:bottom w:val="single" w:sz="4" w:space="4" w:color="000000"/>
          <w:right w:val="single" w:sz="4" w:space="4" w:color="000000"/>
        </w:pBdr>
        <w:shd w:val="clear" w:color="auto" w:fill="D9D9D9"/>
        <w:rPr>
          <w:b/>
          <w:szCs w:val="22"/>
        </w:rPr>
      </w:pPr>
      <w:r>
        <w:rPr>
          <w:b/>
          <w:szCs w:val="22"/>
        </w:rPr>
        <w:t>Cependant, pour des raisons de bonne administration, le pouvoir adjudicateur tient à exprimer sa préférence pour que l’acte d’engagement complété, daté et signé par le candidat soit remis dès le dépôt de son offre.</w:t>
      </w:r>
    </w:p>
    <w:p w:rsidR="002C06B7" w:rsidRDefault="00C33788">
      <w:pPr>
        <w:pStyle w:val="Titre3"/>
        <w:rPr>
          <w:rFonts w:ascii="Marianne" w:hAnsi="Marianne"/>
        </w:rPr>
      </w:pPr>
      <w:bookmarkStart w:id="88" w:name="_Toc485894330"/>
      <w:bookmarkStart w:id="89" w:name="_Toc198742639"/>
      <w:bookmarkStart w:id="90" w:name="_Toc202861573"/>
      <w:r>
        <w:rPr>
          <w:rFonts w:ascii="Marianne" w:hAnsi="Marianne"/>
        </w:rPr>
        <w:t>Offre financière</w:t>
      </w:r>
      <w:bookmarkEnd w:id="88"/>
      <w:bookmarkEnd w:id="89"/>
      <w:bookmarkEnd w:id="90"/>
    </w:p>
    <w:p w:rsidR="002C06B7" w:rsidRDefault="00C33788">
      <w:pPr>
        <w:rPr>
          <w:b/>
          <w:szCs w:val="22"/>
        </w:rPr>
      </w:pPr>
      <w:r>
        <w:rPr>
          <w:b/>
          <w:szCs w:val="22"/>
        </w:rPr>
        <w:t>L’annexe I à l’acte d’engagement dite « annexe financière » renseignée par le candidat constitue son offre financière (« AF</w:t>
      </w:r>
      <w:r w:rsidR="00D16314">
        <w:rPr>
          <w:b/>
          <w:szCs w:val="22"/>
        </w:rPr>
        <w:t> »</w:t>
      </w:r>
      <w:r>
        <w:rPr>
          <w:b/>
          <w:szCs w:val="22"/>
        </w:rPr>
        <w:t>).</w:t>
      </w:r>
    </w:p>
    <w:p w:rsidR="002C06B7" w:rsidRDefault="00C33788">
      <w:pPr>
        <w:rPr>
          <w:szCs w:val="22"/>
        </w:rPr>
      </w:pPr>
      <w:r>
        <w:rPr>
          <w:szCs w:val="22"/>
        </w:rPr>
        <w:t>Le candidat renseigne l‘annexe financière à l’acte d’engagement en suivant strictement les instructions figurant dans les encadrés.</w:t>
      </w:r>
    </w:p>
    <w:p w:rsidR="002C06B7" w:rsidRDefault="00C33788">
      <w:pPr>
        <w:rPr>
          <w:szCs w:val="22"/>
        </w:rPr>
      </w:pPr>
      <w:r>
        <w:rPr>
          <w:b/>
          <w:bCs/>
          <w:szCs w:val="22"/>
        </w:rPr>
        <w:t>Le candidat veille à tarifer l’intégralité des prestations de l’accord-cadre</w:t>
      </w:r>
      <w:r>
        <w:rPr>
          <w:szCs w:val="22"/>
        </w:rPr>
        <w:t xml:space="preserve">. </w:t>
      </w:r>
    </w:p>
    <w:p w:rsidR="002C06B7" w:rsidRDefault="00C33788">
      <w:pPr>
        <w:rPr>
          <w:szCs w:val="22"/>
          <w:lang w:eastAsia="en-US"/>
        </w:rPr>
      </w:pPr>
      <w:r>
        <w:rPr>
          <w:szCs w:val="22"/>
          <w:lang w:eastAsia="en-US"/>
        </w:rPr>
        <w:t xml:space="preserve">Afin de permettre à le pouvoir adjudicateur de procéder à une analyse des offres sur la base de quantités et de situations réalistes, il est demandé au candidat de compléter la </w:t>
      </w:r>
      <w:r>
        <w:rPr>
          <w:b/>
          <w:szCs w:val="22"/>
          <w:lang w:eastAsia="en-US"/>
        </w:rPr>
        <w:t>simulation financière</w:t>
      </w:r>
      <w:r>
        <w:rPr>
          <w:szCs w:val="22"/>
          <w:lang w:eastAsia="en-US"/>
        </w:rPr>
        <w:t xml:space="preserve"> jointe en annexe VII du présent règlement.</w:t>
      </w:r>
    </w:p>
    <w:p w:rsidR="002C06B7" w:rsidRDefault="00C33788">
      <w:pPr>
        <w:pStyle w:val="Titre3"/>
        <w:rPr>
          <w:rFonts w:ascii="Marianne" w:hAnsi="Marianne"/>
        </w:rPr>
      </w:pPr>
      <w:bookmarkStart w:id="91" w:name="_Toc485894331"/>
      <w:bookmarkStart w:id="92" w:name="_Toc198742640"/>
      <w:bookmarkStart w:id="93" w:name="_Toc202861574"/>
      <w:r>
        <w:rPr>
          <w:rFonts w:ascii="Marianne" w:hAnsi="Marianne"/>
        </w:rPr>
        <w:t>Offre technique</w:t>
      </w:r>
      <w:bookmarkEnd w:id="91"/>
      <w:bookmarkEnd w:id="92"/>
      <w:bookmarkEnd w:id="93"/>
    </w:p>
    <w:p w:rsidR="002C06B7" w:rsidRDefault="00C33788">
      <w:pPr>
        <w:rPr>
          <w:szCs w:val="22"/>
        </w:rPr>
      </w:pPr>
      <w:r>
        <w:rPr>
          <w:szCs w:val="22"/>
        </w:rPr>
        <w:t>L’offre technique constitue la réponse du candidat aux besoins et exigences fixés par le pouvoir adjudicateur dans le cahier des clauses administratives particulières.</w:t>
      </w:r>
    </w:p>
    <w:p w:rsidR="002C06B7" w:rsidRDefault="00C33788">
      <w:pPr>
        <w:rPr>
          <w:szCs w:val="22"/>
        </w:rPr>
      </w:pPr>
      <w:r>
        <w:rPr>
          <w:szCs w:val="22"/>
        </w:rPr>
        <w:t>Les éléments de réponse que le candidat aura fournis seront utilisés dans le cadre de la sélection des offres.</w:t>
      </w:r>
    </w:p>
    <w:p w:rsidR="002C06B7" w:rsidRDefault="00C33788">
      <w:pPr>
        <w:rPr>
          <w:szCs w:val="22"/>
        </w:rPr>
      </w:pPr>
      <w:r>
        <w:rPr>
          <w:szCs w:val="22"/>
        </w:rPr>
        <w:t xml:space="preserve">Pour faciliter la comparaison des offres entre elles, </w:t>
      </w:r>
      <w:r>
        <w:rPr>
          <w:b/>
          <w:szCs w:val="22"/>
        </w:rPr>
        <w:t xml:space="preserve">il est demandé au candidat de présenter son offre en se conformant strictement aux </w:t>
      </w:r>
      <w:r>
        <w:rPr>
          <w:b/>
          <w:bCs/>
          <w:szCs w:val="22"/>
        </w:rPr>
        <w:t xml:space="preserve">cadres de réponse technique </w:t>
      </w:r>
      <w:r>
        <w:rPr>
          <w:bCs/>
          <w:szCs w:val="22"/>
        </w:rPr>
        <w:t xml:space="preserve">qui fait l’objet de l’annexe VI du présent règlement </w:t>
      </w:r>
    </w:p>
    <w:p w:rsidR="002C06B7" w:rsidRDefault="00C33788">
      <w:pPr>
        <w:pStyle w:val="Titre3"/>
        <w:rPr>
          <w:rFonts w:ascii="Marianne" w:hAnsi="Marianne"/>
        </w:rPr>
      </w:pPr>
      <w:bookmarkStart w:id="94" w:name="_Toc198742641"/>
      <w:bookmarkStart w:id="95" w:name="_Toc202861575"/>
      <w:bookmarkEnd w:id="87"/>
      <w:r>
        <w:rPr>
          <w:rFonts w:ascii="Marianne" w:hAnsi="Marianne"/>
        </w:rPr>
        <w:t>Déclaration de sous-traitance concomitante au dépôt de l’offre</w:t>
      </w:r>
      <w:bookmarkEnd w:id="94"/>
      <w:bookmarkEnd w:id="95"/>
    </w:p>
    <w:p w:rsidR="002C06B7" w:rsidRDefault="00C33788">
      <w:pPr>
        <w:rPr>
          <w:szCs w:val="22"/>
        </w:rPr>
      </w:pPr>
      <w:r>
        <w:rPr>
          <w:szCs w:val="22"/>
        </w:rPr>
        <w:t>Dans le cas où une demande de sous-traitance intervient au moment du dépôt de l'offre :</w:t>
      </w:r>
    </w:p>
    <w:p w:rsidR="002C06B7" w:rsidRDefault="00C33788">
      <w:pPr>
        <w:pStyle w:val="2Listepoints"/>
        <w:rPr>
          <w:lang w:eastAsia="en-US"/>
        </w:rPr>
      </w:pPr>
      <w:r>
        <w:rPr>
          <w:lang w:eastAsia="en-US"/>
        </w:rPr>
        <w:lastRenderedPageBreak/>
        <w:t>Le candidat fournit au pouvoir adjudicateur une déclaration</w:t>
      </w:r>
      <w:r>
        <w:rPr>
          <w:vertAlign w:val="superscript"/>
          <w:lang w:eastAsia="en-US"/>
        </w:rPr>
        <w:t xml:space="preserve"> </w:t>
      </w:r>
      <w:r>
        <w:rPr>
          <w:lang w:eastAsia="en-US"/>
        </w:rPr>
        <w:t xml:space="preserve">mentionnant </w:t>
      </w:r>
      <w:r>
        <w:rPr>
          <w:b/>
          <w:lang w:eastAsia="en-US"/>
        </w:rPr>
        <w:t xml:space="preserve">(cette déclaration peut être établie sur le formulaire DC4 constituant l’annexe V au présent RC) </w:t>
      </w:r>
      <w:r>
        <w:rPr>
          <w:lang w:eastAsia="en-US"/>
        </w:rPr>
        <w:t xml:space="preserve">: </w:t>
      </w:r>
    </w:p>
    <w:p w:rsidR="002C06B7" w:rsidRDefault="00C33788">
      <w:pPr>
        <w:pStyle w:val="2Listecarrs"/>
        <w:spacing w:before="0" w:after="0"/>
      </w:pPr>
      <w:r>
        <w:t xml:space="preserve">La désignation précise des prestations sous-traitées ; </w:t>
      </w:r>
    </w:p>
    <w:p w:rsidR="002C06B7" w:rsidRDefault="00C33788">
      <w:pPr>
        <w:pStyle w:val="2Listecarrs"/>
        <w:spacing w:before="0" w:after="0"/>
      </w:pPr>
      <w:r>
        <w:t xml:space="preserve">Le nom, la raison ou la dénomination sociale et l'adresse du sous-traitant proposé ; </w:t>
      </w:r>
    </w:p>
    <w:p w:rsidR="002C06B7" w:rsidRDefault="00C33788">
      <w:pPr>
        <w:pStyle w:val="2Listecarrs"/>
        <w:spacing w:before="0" w:after="0"/>
      </w:pPr>
      <w:r>
        <w:t xml:space="preserve">Le montant maximum des sommes à verser par paiement direct au sous-traitant ; </w:t>
      </w:r>
    </w:p>
    <w:p w:rsidR="002C06B7" w:rsidRDefault="00C33788">
      <w:pPr>
        <w:pStyle w:val="2Listecarrs"/>
        <w:spacing w:before="0" w:after="0"/>
      </w:pPr>
      <w:r>
        <w:t xml:space="preserve">Les conditions de paiement prévues par le projet de contrat de sous-traitance et, le cas échéant, les modalités de variation des prix ; </w:t>
      </w:r>
    </w:p>
    <w:p w:rsidR="002C06B7" w:rsidRDefault="00C33788">
      <w:pPr>
        <w:pStyle w:val="2Listecarrs"/>
        <w:spacing w:before="0" w:after="0"/>
      </w:pPr>
      <w:r>
        <w:t xml:space="preserve">Les capacités professionnelles et financières du sous-traitant. </w:t>
      </w:r>
    </w:p>
    <w:p w:rsidR="002C06B7" w:rsidRDefault="00C33788">
      <w:pPr>
        <w:pStyle w:val="2Listepoints"/>
        <w:rPr>
          <w:lang w:eastAsia="en-US"/>
        </w:rPr>
      </w:pPr>
      <w:r>
        <w:rPr>
          <w:lang w:eastAsia="en-US"/>
        </w:rPr>
        <w:t xml:space="preserve">Le candidat remet également une déclaration du sous-traitant indiquant qu'il ne tombe pas sous le coup d'une interdiction d'accéder aux marchés publics. </w:t>
      </w:r>
    </w:p>
    <w:p w:rsidR="002C06B7" w:rsidRDefault="00C33788">
      <w:pPr>
        <w:rPr>
          <w:szCs w:val="22"/>
        </w:rPr>
      </w:pPr>
      <w:r>
        <w:rPr>
          <w:szCs w:val="22"/>
        </w:rPr>
        <w:t>La notification de l’accord-cadre emporte acceptation du sous-traitant et agrément des conditions de paiement.</w:t>
      </w:r>
    </w:p>
    <w:p w:rsidR="002C06B7" w:rsidRDefault="00C33788">
      <w:pPr>
        <w:pStyle w:val="Titre1"/>
      </w:pPr>
      <w:bookmarkStart w:id="96" w:name="_Toc198742642"/>
      <w:bookmarkStart w:id="97" w:name="_Toc202861576"/>
      <w:r>
        <w:lastRenderedPageBreak/>
        <w:t>Selection des candidatures et des offres</w:t>
      </w:r>
      <w:bookmarkEnd w:id="96"/>
      <w:bookmarkEnd w:id="97"/>
    </w:p>
    <w:p w:rsidR="002C06B7" w:rsidRDefault="00C33788">
      <w:pPr>
        <w:pStyle w:val="Titre2"/>
      </w:pPr>
      <w:bookmarkStart w:id="98" w:name="_Toc198742643"/>
      <w:bookmarkStart w:id="99" w:name="_Toc202861577"/>
      <w:r>
        <w:t>Examen des candidatures</w:t>
      </w:r>
      <w:bookmarkEnd w:id="98"/>
      <w:bookmarkEnd w:id="99"/>
    </w:p>
    <w:p w:rsidR="002C06B7" w:rsidRDefault="00C33788">
      <w:pPr>
        <w:rPr>
          <w:szCs w:val="22"/>
        </w:rPr>
      </w:pPr>
      <w:r>
        <w:rPr>
          <w:szCs w:val="22"/>
        </w:rPr>
        <w:t xml:space="preserve">Conformément aux dispositions de l’article R. 2144-1 du Code de la commande publique, le pouvoir adjudicateur vérifie les informations qui figurent dans le dossier de candidature </w:t>
      </w:r>
      <w:r>
        <w:rPr>
          <w:szCs w:val="22"/>
          <w:lang w:eastAsia="en-US"/>
        </w:rPr>
        <w:t xml:space="preserve">tel que défini à l’article </w:t>
      </w:r>
      <w:r>
        <w:rPr>
          <w:szCs w:val="22"/>
          <w:lang w:eastAsia="en-US"/>
        </w:rPr>
        <w:fldChar w:fldCharType="begin"/>
      </w:r>
      <w:r>
        <w:rPr>
          <w:szCs w:val="22"/>
        </w:rPr>
        <w:instrText>REF _Ref341080073 \r \h</w:instrText>
      </w:r>
      <w:r>
        <w:rPr>
          <w:szCs w:val="22"/>
          <w:lang w:eastAsia="en-US"/>
        </w:rPr>
        <w:instrText xml:space="preserve"> \* MERGEFORMAT </w:instrText>
      </w:r>
      <w:r>
        <w:rPr>
          <w:szCs w:val="22"/>
          <w:lang w:eastAsia="en-US"/>
        </w:rPr>
      </w:r>
      <w:r>
        <w:rPr>
          <w:szCs w:val="22"/>
        </w:rPr>
        <w:fldChar w:fldCharType="separate"/>
      </w:r>
      <w:r>
        <w:rPr>
          <w:szCs w:val="22"/>
        </w:rPr>
        <w:t>IV.1</w:t>
      </w:r>
      <w:r>
        <w:rPr>
          <w:szCs w:val="22"/>
        </w:rPr>
        <w:fldChar w:fldCharType="end"/>
      </w:r>
      <w:r>
        <w:rPr>
          <w:szCs w:val="22"/>
          <w:lang w:eastAsia="en-US"/>
        </w:rPr>
        <w:t xml:space="preserve"> du présent document</w:t>
      </w:r>
      <w:r>
        <w:rPr>
          <w:szCs w:val="22"/>
        </w:rPr>
        <w:t>, y compris en ce qui concerne les opérateurs économiques sur les capacités desquels le candidat s'appuie.</w:t>
      </w:r>
    </w:p>
    <w:p w:rsidR="002C06B7" w:rsidRDefault="00C33788">
      <w:pPr>
        <w:rPr>
          <w:rStyle w:val="CommentaireBAJCar"/>
          <w:rFonts w:ascii="Marianne" w:hAnsi="Marianne"/>
          <w:szCs w:val="22"/>
        </w:rPr>
      </w:pPr>
      <w:r>
        <w:rPr>
          <w:szCs w:val="22"/>
        </w:rPr>
        <w:t xml:space="preserve">En vertu de l’article R. 2144-3 du Code de la commande publique, la vérification de l'aptitude à exercer l'activité professionnelle, de la capacité économique et financière et des capacités techniques et professionnelles des candidats peut être effectuée à tout moment de la procédure et au plus tard avant l'attribution de l’accord-cadre. </w:t>
      </w:r>
    </w:p>
    <w:p w:rsidR="002C06B7" w:rsidRDefault="00C33788">
      <w:pPr>
        <w:rPr>
          <w:szCs w:val="22"/>
          <w:lang w:eastAsia="en-US"/>
        </w:rPr>
      </w:pPr>
      <w:r>
        <w:rPr>
          <w:szCs w:val="22"/>
        </w:rPr>
        <w:t>Au vu des éléments de candidature transmis par le candidat dans son pli et, le cas échéant, après demande de complément effectuée en application de l’article R. 2144-2 et/ou de l’article R. 2144-6 du Code de la commande publique</w:t>
      </w:r>
      <w:r>
        <w:rPr>
          <w:szCs w:val="22"/>
          <w:lang w:eastAsia="en-US"/>
        </w:rPr>
        <w:t>, le pouvoir adjudicateur élimine toute candidature qui ne peut être déclarée recevable conformément aux dispositions de l’article R. 2144-7 du Code de la commande publique.</w:t>
      </w:r>
    </w:p>
    <w:p w:rsidR="002C06B7" w:rsidRDefault="00C33788">
      <w:pPr>
        <w:pStyle w:val="Titre2"/>
      </w:pPr>
      <w:bookmarkStart w:id="100" w:name="_Toc2868874"/>
      <w:bookmarkStart w:id="101" w:name="_Toc2869725"/>
      <w:bookmarkStart w:id="102" w:name="_Toc2868875"/>
      <w:bookmarkStart w:id="103" w:name="_Toc2869726"/>
      <w:bookmarkStart w:id="104" w:name="_Toc198742644"/>
      <w:bookmarkStart w:id="105" w:name="_Toc202861578"/>
      <w:bookmarkEnd w:id="100"/>
      <w:bookmarkEnd w:id="101"/>
      <w:bookmarkEnd w:id="102"/>
      <w:bookmarkEnd w:id="103"/>
      <w:r>
        <w:t>Analyse des offres</w:t>
      </w:r>
      <w:bookmarkEnd w:id="104"/>
      <w:bookmarkEnd w:id="105"/>
    </w:p>
    <w:p w:rsidR="002C06B7" w:rsidRDefault="00C33788">
      <w:pPr>
        <w:rPr>
          <w:szCs w:val="22"/>
        </w:rPr>
      </w:pPr>
      <w:bookmarkStart w:id="106" w:name="_Toc198742645"/>
      <w:r>
        <w:rPr>
          <w:szCs w:val="22"/>
        </w:rPr>
        <w:t>Dans le cas où le marché n’aurait fait l’objet que d’une seule offre, et après vérification que l’absence de concurrence n’est pas le fruit d’une mauvaise définition du besoin, les coefficients de pondération et la notation ne seront pas utilisés. En effet, cette méthode d’évaluation n’est utile que pour comparer et classer les offres émanant de plusieurs candidats. Il s’agit de vérifier que l’offre est conforme et répond aux exigences et attentes de l’acheteur.</w:t>
      </w:r>
    </w:p>
    <w:p w:rsidR="002C06B7" w:rsidRDefault="00C33788">
      <w:pPr>
        <w:pStyle w:val="Titre3"/>
        <w:rPr>
          <w:rFonts w:ascii="Marianne" w:hAnsi="Marianne"/>
        </w:rPr>
      </w:pPr>
      <w:bookmarkStart w:id="107" w:name="_Toc202861579"/>
      <w:r>
        <w:rPr>
          <w:rFonts w:ascii="Marianne" w:hAnsi="Marianne"/>
        </w:rPr>
        <w:t>Critères de jugement des offres</w:t>
      </w:r>
      <w:bookmarkEnd w:id="106"/>
      <w:bookmarkEnd w:id="107"/>
      <w:r>
        <w:rPr>
          <w:rFonts w:ascii="Marianne" w:hAnsi="Marianne"/>
        </w:rPr>
        <w:t xml:space="preserve"> </w:t>
      </w:r>
    </w:p>
    <w:p w:rsidR="002C06B7" w:rsidRDefault="00C33788">
      <w:pPr>
        <w:rPr>
          <w:szCs w:val="22"/>
        </w:rPr>
      </w:pPr>
      <w:r>
        <w:rPr>
          <w:szCs w:val="22"/>
        </w:rPr>
        <w:t>Les critères d’analyse des offres sont les suivants :</w:t>
      </w:r>
    </w:p>
    <w:p w:rsidR="002C06B7" w:rsidRDefault="002C06B7">
      <w:pPr>
        <w:pStyle w:val="2Cent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53"/>
        <w:gridCol w:w="3080"/>
      </w:tblGrid>
      <w:tr w:rsidR="002C06B7">
        <w:trPr>
          <w:jc w:val="center"/>
        </w:trPr>
        <w:tc>
          <w:tcPr>
            <w:tcW w:w="2153" w:type="dxa"/>
            <w:shd w:val="clear" w:color="auto" w:fill="8DB3E2"/>
          </w:tcPr>
          <w:p w:rsidR="002C06B7" w:rsidRDefault="00C33788">
            <w:pPr>
              <w:spacing w:before="100" w:after="100"/>
              <w:jc w:val="center"/>
              <w:rPr>
                <w:b/>
                <w:color w:val="000000"/>
                <w:szCs w:val="22"/>
              </w:rPr>
            </w:pPr>
            <w:r>
              <w:rPr>
                <w:b/>
                <w:color w:val="000000"/>
                <w:szCs w:val="22"/>
              </w:rPr>
              <w:t>Critères</w:t>
            </w:r>
          </w:p>
        </w:tc>
        <w:tc>
          <w:tcPr>
            <w:tcW w:w="0" w:type="auto"/>
            <w:shd w:val="clear" w:color="auto" w:fill="8DB3E2"/>
          </w:tcPr>
          <w:p w:rsidR="002C06B7" w:rsidRDefault="00C33788">
            <w:pPr>
              <w:spacing w:before="100" w:after="100"/>
              <w:jc w:val="center"/>
              <w:rPr>
                <w:b/>
                <w:color w:val="000000"/>
                <w:szCs w:val="22"/>
              </w:rPr>
            </w:pPr>
            <w:r>
              <w:rPr>
                <w:b/>
                <w:color w:val="000000"/>
                <w:szCs w:val="22"/>
              </w:rPr>
              <w:t>Poids (en nombre de points)</w:t>
            </w:r>
          </w:p>
        </w:tc>
      </w:tr>
      <w:tr w:rsidR="002C06B7">
        <w:trPr>
          <w:jc w:val="center"/>
        </w:trPr>
        <w:tc>
          <w:tcPr>
            <w:tcW w:w="2153" w:type="dxa"/>
            <w:shd w:val="clear" w:color="auto" w:fill="DBE5F1"/>
          </w:tcPr>
          <w:p w:rsidR="002C06B7" w:rsidRDefault="00C33788">
            <w:pPr>
              <w:spacing w:before="100" w:after="100"/>
              <w:jc w:val="center"/>
              <w:rPr>
                <w:color w:val="000000"/>
                <w:szCs w:val="22"/>
              </w:rPr>
            </w:pPr>
            <w:r>
              <w:rPr>
                <w:color w:val="000000"/>
                <w:szCs w:val="22"/>
              </w:rPr>
              <w:t>Valeur technique</w:t>
            </w:r>
          </w:p>
        </w:tc>
        <w:tc>
          <w:tcPr>
            <w:tcW w:w="0" w:type="auto"/>
            <w:shd w:val="clear" w:color="auto" w:fill="DBE5F1"/>
          </w:tcPr>
          <w:p w:rsidR="002C06B7" w:rsidRDefault="00C33788">
            <w:pPr>
              <w:spacing w:before="100" w:after="100"/>
              <w:jc w:val="center"/>
              <w:rPr>
                <w:bCs/>
                <w:color w:val="000000"/>
                <w:szCs w:val="22"/>
              </w:rPr>
            </w:pPr>
            <w:r>
              <w:rPr>
                <w:color w:val="000000"/>
                <w:szCs w:val="22"/>
              </w:rPr>
              <w:t>70</w:t>
            </w:r>
            <w:r>
              <w:rPr>
                <w:bCs/>
                <w:color w:val="000000"/>
                <w:szCs w:val="22"/>
              </w:rPr>
              <w:t xml:space="preserve"> pts</w:t>
            </w:r>
          </w:p>
        </w:tc>
      </w:tr>
      <w:tr w:rsidR="002C06B7">
        <w:trPr>
          <w:jc w:val="center"/>
        </w:trPr>
        <w:tc>
          <w:tcPr>
            <w:tcW w:w="2153" w:type="dxa"/>
          </w:tcPr>
          <w:p w:rsidR="002C06B7" w:rsidRDefault="00C33788">
            <w:pPr>
              <w:spacing w:before="100" w:after="100"/>
              <w:jc w:val="center"/>
              <w:rPr>
                <w:color w:val="000000"/>
                <w:szCs w:val="22"/>
              </w:rPr>
            </w:pPr>
            <w:r>
              <w:rPr>
                <w:color w:val="000000"/>
                <w:szCs w:val="22"/>
              </w:rPr>
              <w:t>Prix</w:t>
            </w:r>
          </w:p>
        </w:tc>
        <w:tc>
          <w:tcPr>
            <w:tcW w:w="0" w:type="auto"/>
          </w:tcPr>
          <w:p w:rsidR="002C06B7" w:rsidRDefault="00C33788">
            <w:pPr>
              <w:spacing w:before="100" w:after="100"/>
              <w:jc w:val="center"/>
              <w:rPr>
                <w:color w:val="000000"/>
                <w:szCs w:val="22"/>
              </w:rPr>
            </w:pPr>
            <w:r>
              <w:rPr>
                <w:color w:val="000000"/>
                <w:szCs w:val="22"/>
              </w:rPr>
              <w:t>30</w:t>
            </w:r>
            <w:r>
              <w:rPr>
                <w:bCs/>
                <w:color w:val="000000"/>
                <w:szCs w:val="22"/>
              </w:rPr>
              <w:t xml:space="preserve"> pts</w:t>
            </w:r>
          </w:p>
        </w:tc>
      </w:tr>
    </w:tbl>
    <w:p w:rsidR="002C06B7" w:rsidRDefault="002C06B7">
      <w:pPr>
        <w:pStyle w:val="2Centr"/>
      </w:pPr>
    </w:p>
    <w:p w:rsidR="002C06B7" w:rsidRDefault="00C33788">
      <w:pPr>
        <w:pStyle w:val="Titre4"/>
      </w:pPr>
      <w:r>
        <w:t>Précision sur l’appréciation de la valeur technique</w:t>
      </w:r>
    </w:p>
    <w:p w:rsidR="002C06B7" w:rsidRDefault="00C33788">
      <w:pPr>
        <w:rPr>
          <w:szCs w:val="22"/>
        </w:rPr>
      </w:pPr>
      <w:r>
        <w:rPr>
          <w:szCs w:val="22"/>
        </w:rPr>
        <w:t>Le critère « valeur technique » est lui-même décomposé en trois sous-critères tels que définis ci-après :</w:t>
      </w:r>
    </w:p>
    <w:tbl>
      <w:tblPr>
        <w:tblW w:w="436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479"/>
        <w:gridCol w:w="1925"/>
      </w:tblGrid>
      <w:tr w:rsidR="002C06B7">
        <w:trPr>
          <w:trHeight w:val="696"/>
          <w:jc w:val="center"/>
        </w:trPr>
        <w:tc>
          <w:tcPr>
            <w:tcW w:w="3855" w:type="pct"/>
            <w:shd w:val="clear" w:color="auto" w:fill="8DB3E2"/>
            <w:vAlign w:val="center"/>
          </w:tcPr>
          <w:p w:rsidR="002C06B7" w:rsidRDefault="00C33788">
            <w:pPr>
              <w:spacing w:before="100" w:after="100"/>
              <w:jc w:val="center"/>
              <w:rPr>
                <w:rFonts w:ascii="Arial" w:hAnsi="Arial"/>
                <w:b/>
                <w:color w:val="000000"/>
              </w:rPr>
            </w:pPr>
            <w:r>
              <w:rPr>
                <w:rFonts w:ascii="Arial" w:hAnsi="Arial"/>
                <w:b/>
                <w:color w:val="000000"/>
              </w:rPr>
              <w:t>Sous-critères</w:t>
            </w:r>
          </w:p>
        </w:tc>
        <w:tc>
          <w:tcPr>
            <w:tcW w:w="1145" w:type="pct"/>
            <w:shd w:val="clear" w:color="auto" w:fill="8DB3E2"/>
            <w:vAlign w:val="center"/>
          </w:tcPr>
          <w:p w:rsidR="002C06B7" w:rsidRDefault="00C33788">
            <w:pPr>
              <w:spacing w:before="100" w:after="100"/>
              <w:jc w:val="center"/>
              <w:rPr>
                <w:rFonts w:ascii="Arial" w:hAnsi="Arial"/>
                <w:b/>
                <w:color w:val="000000"/>
              </w:rPr>
            </w:pPr>
            <w:r>
              <w:rPr>
                <w:rFonts w:ascii="Arial" w:hAnsi="Arial"/>
                <w:b/>
                <w:color w:val="000000"/>
              </w:rPr>
              <w:t>Poids (en nombre de points)</w:t>
            </w:r>
          </w:p>
        </w:tc>
      </w:tr>
      <w:tr w:rsidR="002C06B7">
        <w:trPr>
          <w:jc w:val="center"/>
        </w:trPr>
        <w:tc>
          <w:tcPr>
            <w:tcW w:w="3855" w:type="pct"/>
            <w:shd w:val="clear" w:color="auto" w:fill="DBE5F1"/>
            <w:vAlign w:val="center"/>
          </w:tcPr>
          <w:p w:rsidR="002C06B7" w:rsidRDefault="00C33788">
            <w:pPr>
              <w:spacing w:before="100" w:after="100"/>
              <w:jc w:val="left"/>
              <w:rPr>
                <w:rFonts w:ascii="Arial" w:hAnsi="Arial"/>
                <w:color w:val="000000"/>
              </w:rPr>
            </w:pPr>
            <w:r>
              <w:rPr>
                <w:rFonts w:ascii="Arial" w:hAnsi="Arial"/>
                <w:color w:val="000000"/>
              </w:rPr>
              <w:t>Sous-critère technique 1 : Equipe dédiée à la réalisation des panoramas et des synthèses de presse</w:t>
            </w:r>
          </w:p>
        </w:tc>
        <w:tc>
          <w:tcPr>
            <w:tcW w:w="1145" w:type="pct"/>
            <w:shd w:val="clear" w:color="auto" w:fill="DBE5F1"/>
            <w:vAlign w:val="center"/>
          </w:tcPr>
          <w:p w:rsidR="002C06B7" w:rsidRDefault="00C33788">
            <w:pPr>
              <w:spacing w:before="100" w:after="100"/>
              <w:jc w:val="center"/>
              <w:rPr>
                <w:rFonts w:ascii="Arial" w:hAnsi="Arial"/>
                <w:color w:val="000000"/>
                <w:highlight w:val="green"/>
              </w:rPr>
            </w:pPr>
            <w:r w:rsidRPr="000042FF">
              <w:rPr>
                <w:rFonts w:ascii="Arial" w:hAnsi="Arial"/>
                <w:color w:val="000000"/>
              </w:rPr>
              <w:t xml:space="preserve"> 20 pts</w:t>
            </w:r>
          </w:p>
        </w:tc>
      </w:tr>
      <w:tr w:rsidR="002C06B7">
        <w:trPr>
          <w:jc w:val="center"/>
        </w:trPr>
        <w:tc>
          <w:tcPr>
            <w:tcW w:w="3855" w:type="pct"/>
            <w:vAlign w:val="center"/>
          </w:tcPr>
          <w:p w:rsidR="002C06B7" w:rsidRDefault="00C33788">
            <w:pPr>
              <w:spacing w:before="100" w:after="100"/>
              <w:jc w:val="left"/>
              <w:rPr>
                <w:rFonts w:ascii="Arial" w:hAnsi="Arial"/>
                <w:color w:val="000000"/>
              </w:rPr>
            </w:pPr>
            <w:r>
              <w:rPr>
                <w:rFonts w:ascii="Arial" w:hAnsi="Arial"/>
                <w:color w:val="000000"/>
              </w:rPr>
              <w:t>Sous-critère technique 2 : Moyens techniques mobilisés pour la réalisation des prestations</w:t>
            </w:r>
          </w:p>
        </w:tc>
        <w:tc>
          <w:tcPr>
            <w:tcW w:w="1145" w:type="pct"/>
            <w:vAlign w:val="center"/>
          </w:tcPr>
          <w:p w:rsidR="002C06B7" w:rsidRDefault="00C33788">
            <w:pPr>
              <w:spacing w:before="100" w:after="100"/>
              <w:jc w:val="center"/>
              <w:rPr>
                <w:rFonts w:ascii="Arial" w:hAnsi="Arial"/>
                <w:color w:val="000000"/>
                <w:highlight w:val="green"/>
              </w:rPr>
            </w:pPr>
            <w:r w:rsidRPr="000042FF">
              <w:rPr>
                <w:rFonts w:ascii="Arial" w:hAnsi="Arial"/>
                <w:color w:val="000000"/>
              </w:rPr>
              <w:t>30 pts</w:t>
            </w:r>
          </w:p>
        </w:tc>
      </w:tr>
      <w:tr w:rsidR="002C06B7">
        <w:trPr>
          <w:jc w:val="center"/>
        </w:trPr>
        <w:tc>
          <w:tcPr>
            <w:tcW w:w="3855" w:type="pct"/>
            <w:shd w:val="clear" w:color="auto" w:fill="DBE5F1" w:themeFill="accent1" w:themeFillTint="33"/>
            <w:vAlign w:val="center"/>
          </w:tcPr>
          <w:p w:rsidR="002C06B7" w:rsidRDefault="00C33788">
            <w:pPr>
              <w:spacing w:before="100" w:after="100"/>
              <w:jc w:val="left"/>
              <w:rPr>
                <w:rFonts w:ascii="Arial" w:hAnsi="Arial"/>
                <w:color w:val="000000"/>
              </w:rPr>
            </w:pPr>
            <w:r>
              <w:rPr>
                <w:rFonts w:ascii="Arial" w:hAnsi="Arial"/>
                <w:color w:val="000000"/>
              </w:rPr>
              <w:lastRenderedPageBreak/>
              <w:t xml:space="preserve">Sous-critère technique 3 : Cas pratique </w:t>
            </w:r>
          </w:p>
        </w:tc>
        <w:tc>
          <w:tcPr>
            <w:tcW w:w="1145" w:type="pct"/>
            <w:shd w:val="clear" w:color="auto" w:fill="DBE5F1" w:themeFill="accent1" w:themeFillTint="33"/>
            <w:vAlign w:val="center"/>
          </w:tcPr>
          <w:p w:rsidR="002C06B7" w:rsidRDefault="00C33788">
            <w:pPr>
              <w:spacing w:before="100" w:after="100"/>
              <w:jc w:val="center"/>
              <w:rPr>
                <w:rFonts w:ascii="Arial" w:hAnsi="Arial"/>
                <w:color w:val="000000"/>
                <w:highlight w:val="green"/>
              </w:rPr>
            </w:pPr>
            <w:r w:rsidRPr="000042FF">
              <w:rPr>
                <w:rFonts w:ascii="Arial" w:hAnsi="Arial"/>
                <w:color w:val="000000"/>
              </w:rPr>
              <w:t>20 pts</w:t>
            </w:r>
          </w:p>
        </w:tc>
      </w:tr>
    </w:tbl>
    <w:p w:rsidR="002C06B7" w:rsidRDefault="002C06B7">
      <w:pPr>
        <w:numPr>
          <w:ilvl w:val="0"/>
          <w:numId w:val="10"/>
        </w:numPr>
        <w:tabs>
          <w:tab w:val="clear" w:pos="454"/>
        </w:tabs>
        <w:spacing w:before="0" w:after="0"/>
        <w:ind w:left="0" w:firstLine="0"/>
        <w:rPr>
          <w:rFonts w:ascii="Arial" w:hAnsi="Arial"/>
          <w:sz w:val="20"/>
        </w:rPr>
      </w:pPr>
    </w:p>
    <w:p w:rsidR="002C06B7" w:rsidRDefault="00C33788">
      <w:pPr>
        <w:pStyle w:val="Titre4"/>
      </w:pPr>
      <w:r>
        <w:t>Précision sur l’appréciation du prix</w:t>
      </w:r>
    </w:p>
    <w:p w:rsidR="002C06B7" w:rsidRDefault="00C33788">
      <w:pPr>
        <w:rPr>
          <w:szCs w:val="22"/>
        </w:rPr>
      </w:pPr>
      <w:r>
        <w:rPr>
          <w:szCs w:val="22"/>
        </w:rPr>
        <w:t>La note financière sur 30 points est calculée pour chaque candidat (candidat i) selon la formule suivante :</w:t>
      </w:r>
    </w:p>
    <w:p w:rsidR="002C06B7" w:rsidRDefault="00C33788">
      <w:pPr>
        <w:pBdr>
          <w:top w:val="single" w:sz="4" w:space="6" w:color="000000"/>
          <w:left w:val="single" w:sz="4" w:space="4" w:color="000000"/>
          <w:bottom w:val="single" w:sz="4" w:space="6" w:color="000000"/>
          <w:right w:val="single" w:sz="4" w:space="4" w:color="000000"/>
        </w:pBdr>
        <w:spacing w:before="100" w:after="100"/>
        <w:jc w:val="center"/>
        <w:rPr>
          <w:szCs w:val="22"/>
        </w:rPr>
      </w:pPr>
      <w:r>
        <w:rPr>
          <w:szCs w:val="22"/>
        </w:rPr>
        <w:t>Note financière du candidat i = 30 * (prix du candidat moins disant / prix du candidat)</w:t>
      </w:r>
    </w:p>
    <w:p w:rsidR="002C06B7" w:rsidRDefault="00C33788">
      <w:pPr>
        <w:pStyle w:val="Titre4"/>
      </w:pPr>
      <w:r>
        <w:t>Note finale</w:t>
      </w:r>
    </w:p>
    <w:p w:rsidR="002C06B7" w:rsidRDefault="00C33788">
      <w:pPr>
        <w:spacing w:after="240"/>
        <w:rPr>
          <w:color w:val="00000A"/>
          <w:szCs w:val="22"/>
        </w:rPr>
      </w:pPr>
      <w:r>
        <w:rPr>
          <w:color w:val="00000A"/>
          <w:szCs w:val="22"/>
        </w:rPr>
        <w:t>Pour tous les lots, la note finale sur 100 points est calculée pour chaque candidat (candidat i) selon la formule suivante :</w:t>
      </w:r>
    </w:p>
    <w:p w:rsidR="002C06B7" w:rsidRDefault="00C33788">
      <w:pPr>
        <w:pBdr>
          <w:top w:val="single" w:sz="4" w:space="6" w:color="00000A"/>
          <w:left w:val="single" w:sz="4" w:space="4" w:color="00000A"/>
          <w:bottom w:val="single" w:sz="4" w:space="6" w:color="00000A"/>
          <w:right w:val="single" w:sz="4" w:space="4" w:color="00000A"/>
        </w:pBdr>
        <w:spacing w:before="100" w:after="240"/>
        <w:rPr>
          <w:color w:val="00000A"/>
          <w:szCs w:val="22"/>
        </w:rPr>
      </w:pPr>
      <w:r>
        <w:rPr>
          <w:color w:val="00000A"/>
          <w:szCs w:val="22"/>
        </w:rPr>
        <w:t>Note finale du candidat i = note technique sur 70 + note financière sur 30</w:t>
      </w:r>
    </w:p>
    <w:p w:rsidR="002C06B7" w:rsidRDefault="00C33788">
      <w:pPr>
        <w:pStyle w:val="Titre3"/>
        <w:rPr>
          <w:rFonts w:ascii="Marianne" w:hAnsi="Marianne"/>
        </w:rPr>
      </w:pPr>
      <w:bookmarkStart w:id="108" w:name="_Toc449435136"/>
      <w:bookmarkStart w:id="109" w:name="_cadre_d’analyse"/>
      <w:bookmarkStart w:id="110" w:name="_Toc198742646"/>
      <w:bookmarkStart w:id="111" w:name="_Toc202861580"/>
      <w:bookmarkEnd w:id="108"/>
      <w:bookmarkEnd w:id="109"/>
      <w:r>
        <w:rPr>
          <w:rFonts w:ascii="Marianne" w:hAnsi="Marianne"/>
        </w:rPr>
        <w:t>Cadre d’analyse</w:t>
      </w:r>
      <w:bookmarkEnd w:id="110"/>
      <w:bookmarkEnd w:id="111"/>
    </w:p>
    <w:p w:rsidR="002C06B7" w:rsidRDefault="00C33788">
      <w:pPr>
        <w:pStyle w:val="Titre4"/>
      </w:pPr>
      <w:r>
        <w:t>Cadre d’analyse technique</w:t>
      </w:r>
    </w:p>
    <w:p w:rsidR="002C06B7" w:rsidRDefault="00C33788">
      <w:pPr>
        <w:rPr>
          <w:szCs w:val="22"/>
          <w:lang w:eastAsia="en-US"/>
        </w:rPr>
      </w:pPr>
      <w:r>
        <w:rPr>
          <w:szCs w:val="22"/>
          <w:lang w:eastAsia="en-US"/>
        </w:rPr>
        <w:t xml:space="preserve">L’analyse technique est effectuée sur la base des réponses fournies par le candidat dans le cadre de l’offre technique citée à l’article </w:t>
      </w:r>
      <w:r>
        <w:rPr>
          <w:szCs w:val="22"/>
        </w:rPr>
        <w:t>IV.2.2</w:t>
      </w:r>
      <w:r>
        <w:rPr>
          <w:szCs w:val="22"/>
          <w:lang w:eastAsia="en-US"/>
        </w:rPr>
        <w:t xml:space="preserve"> du présent document.</w:t>
      </w:r>
    </w:p>
    <w:p w:rsidR="002C06B7" w:rsidRDefault="00C33788">
      <w:pPr>
        <w:rPr>
          <w:szCs w:val="22"/>
          <w:lang w:eastAsia="en-US"/>
        </w:rPr>
      </w:pPr>
      <w:r>
        <w:rPr>
          <w:szCs w:val="22"/>
          <w:lang w:eastAsia="en-US"/>
        </w:rPr>
        <w:t>Chaque item du critère technique sera jugé en attribuant une note sur 10.</w:t>
      </w:r>
    </w:p>
    <w:p w:rsidR="002C06B7" w:rsidRDefault="00C33788">
      <w:pPr>
        <w:rPr>
          <w:szCs w:val="22"/>
          <w:lang w:eastAsia="en-US"/>
        </w:rPr>
      </w:pPr>
      <w:r>
        <w:rPr>
          <w:szCs w:val="22"/>
          <w:lang w:eastAsia="en-US"/>
        </w:rPr>
        <w:t>Les notes sont ensuite pondérées par application du coefficient correspondant.</w:t>
      </w:r>
    </w:p>
    <w:p w:rsidR="002C06B7" w:rsidRDefault="00C33788">
      <w:pPr>
        <w:pStyle w:val="Titre4"/>
      </w:pPr>
      <w:r>
        <w:t>Cadre d’analyse financière</w:t>
      </w:r>
    </w:p>
    <w:p w:rsidR="002C06B7" w:rsidRDefault="00C33788">
      <w:pPr>
        <w:rPr>
          <w:szCs w:val="22"/>
          <w:lang w:eastAsia="en-US"/>
        </w:rPr>
      </w:pPr>
      <w:r>
        <w:rPr>
          <w:szCs w:val="22"/>
          <w:lang w:eastAsia="en-US"/>
        </w:rPr>
        <w:t xml:space="preserve">Afin de permettre au pouvoir adjudicateur de procéder à une analyse des offres sur la base de quantités et de situations réalistes, il est demandé au candidat de compléter la </w:t>
      </w:r>
      <w:r>
        <w:rPr>
          <w:b/>
          <w:szCs w:val="22"/>
          <w:lang w:eastAsia="en-US"/>
        </w:rPr>
        <w:t>simulation financière</w:t>
      </w:r>
      <w:r>
        <w:rPr>
          <w:szCs w:val="22"/>
          <w:lang w:eastAsia="en-US"/>
        </w:rPr>
        <w:t xml:space="preserve"> jointe en annexe VII du présent règlement.</w:t>
      </w:r>
    </w:p>
    <w:p w:rsidR="002C06B7" w:rsidRDefault="00C33788">
      <w:pPr>
        <w:rPr>
          <w:szCs w:val="22"/>
          <w:lang w:eastAsia="en-US"/>
        </w:rPr>
      </w:pPr>
      <w:r>
        <w:rPr>
          <w:szCs w:val="22"/>
          <w:lang w:eastAsia="en-US"/>
        </w:rPr>
        <w:t xml:space="preserve">Cette simulation n’a pas de caractère contractuel. </w:t>
      </w:r>
    </w:p>
    <w:p w:rsidR="002C06B7" w:rsidRDefault="00C33788">
      <w:pPr>
        <w:rPr>
          <w:szCs w:val="22"/>
          <w:lang w:eastAsia="en-US"/>
        </w:rPr>
      </w:pPr>
      <w:r>
        <w:rPr>
          <w:szCs w:val="22"/>
          <w:lang w:eastAsia="en-US"/>
        </w:rPr>
        <w:t>La simulation financière a été établie sur la base d'éléments prévisionnels connus au jour de la publication de l’accord-cadre.</w:t>
      </w:r>
    </w:p>
    <w:p w:rsidR="002C06B7" w:rsidRDefault="00C33788">
      <w:pPr>
        <w:rPr>
          <w:b/>
          <w:szCs w:val="22"/>
          <w:lang w:eastAsia="en-US"/>
        </w:rPr>
      </w:pPr>
      <w:r>
        <w:rPr>
          <w:b/>
          <w:szCs w:val="22"/>
          <w:lang w:eastAsia="en-US"/>
        </w:rPr>
        <w:t>La simulation financière dûment remplie par le candidat est impérativement jointe à l’offre du candidat.</w:t>
      </w:r>
    </w:p>
    <w:p w:rsidR="002C06B7" w:rsidRDefault="00C33788">
      <w:pPr>
        <w:rPr>
          <w:szCs w:val="22"/>
          <w:lang w:eastAsia="en-US"/>
        </w:rPr>
      </w:pPr>
      <w:r>
        <w:rPr>
          <w:szCs w:val="22"/>
          <w:lang w:eastAsia="en-US"/>
        </w:rPr>
        <w:t>La simulation financière est renseignée sur l’unique base des prix proposés par le candidat dans l'annexe financière à l’acte d’engagement.</w:t>
      </w:r>
    </w:p>
    <w:p w:rsidR="002C06B7" w:rsidRDefault="00C33788">
      <w:pPr>
        <w:pStyle w:val="Titre3"/>
        <w:rPr>
          <w:rFonts w:ascii="Marianne" w:hAnsi="Marianne"/>
        </w:rPr>
      </w:pPr>
      <w:bookmarkStart w:id="112" w:name="_Toc198742647"/>
      <w:bookmarkStart w:id="113" w:name="_Toc202861581"/>
      <w:r>
        <w:rPr>
          <w:rFonts w:ascii="Marianne" w:hAnsi="Marianne"/>
        </w:rPr>
        <w:t>Demande de précisions sur la teneur des offres et examen de leur recevabilité</w:t>
      </w:r>
      <w:bookmarkEnd w:id="112"/>
      <w:bookmarkEnd w:id="113"/>
    </w:p>
    <w:p w:rsidR="002C06B7" w:rsidRDefault="00C33788">
      <w:pPr>
        <w:rPr>
          <w:szCs w:val="22"/>
          <w:lang w:eastAsia="en-US"/>
        </w:rPr>
      </w:pPr>
      <w:r>
        <w:rPr>
          <w:szCs w:val="22"/>
          <w:lang w:eastAsia="en-US"/>
        </w:rPr>
        <w:t xml:space="preserve">Il ne peut y avoir de négociation avec les candidats. </w:t>
      </w:r>
    </w:p>
    <w:p w:rsidR="002C06B7" w:rsidRDefault="00C33788">
      <w:pPr>
        <w:rPr>
          <w:szCs w:val="22"/>
          <w:lang w:eastAsia="en-US"/>
        </w:rPr>
      </w:pPr>
      <w:r>
        <w:rPr>
          <w:szCs w:val="22"/>
          <w:lang w:eastAsia="en-US"/>
        </w:rPr>
        <w:t>En revanche, le représentant du pouvoir adjudicateur peut, dans le respect de l’égalité de traitement des candidats, demander à un soumissionnaire de préciser la teneur de son offre.</w:t>
      </w:r>
    </w:p>
    <w:p w:rsidR="002C06B7" w:rsidRDefault="00C33788">
      <w:pPr>
        <w:rPr>
          <w:szCs w:val="22"/>
          <w:lang w:eastAsia="en-US"/>
        </w:rPr>
      </w:pPr>
      <w:r>
        <w:rPr>
          <w:szCs w:val="22"/>
          <w:lang w:eastAsia="en-US"/>
        </w:rPr>
        <w:t xml:space="preserve">Le candidat répond dans les délais fixés par le pouvoir adjudicateur dans sa demande de précisions </w:t>
      </w:r>
      <w:r>
        <w:rPr>
          <w:szCs w:val="22"/>
        </w:rPr>
        <w:t>selon le moyen de correspondance mentionné à l’article I.5 du présent document</w:t>
      </w:r>
      <w:r>
        <w:rPr>
          <w:szCs w:val="22"/>
          <w:lang w:eastAsia="en-US"/>
        </w:rPr>
        <w:t>.</w:t>
      </w:r>
    </w:p>
    <w:p w:rsidR="002C06B7" w:rsidRDefault="00C33788">
      <w:pPr>
        <w:rPr>
          <w:szCs w:val="22"/>
          <w:lang w:eastAsia="en-US"/>
        </w:rPr>
      </w:pPr>
      <w:r>
        <w:rPr>
          <w:szCs w:val="22"/>
          <w:lang w:eastAsia="en-US"/>
        </w:rPr>
        <w:lastRenderedPageBreak/>
        <w:t xml:space="preserve">Les éléments de réponses apportés sont annexés à l’offre du candidat. </w:t>
      </w:r>
    </w:p>
    <w:p w:rsidR="002C06B7" w:rsidRDefault="00C33788">
      <w:pPr>
        <w:rPr>
          <w:szCs w:val="22"/>
          <w:lang w:eastAsia="en-US"/>
        </w:rPr>
      </w:pPr>
      <w:r>
        <w:rPr>
          <w:szCs w:val="22"/>
          <w:lang w:eastAsia="en-US"/>
        </w:rPr>
        <w:t>Dans le respect des dispositions des articles L. 2152-5 et L. 2152-6 du Code de la commande publique ainsi que des articles R. 2152-3 à R. 2152-5 du même code, si, après vérification des justifications fournies par le candidat, le pouvoir adjudicateur établit qu’une offre est anormalement basse, y compris pour la part de l’accord-cadre que le candidat envisage de sous-traiter, le pouvoir adjudicateur rejette l’offre par décision motivée.</w:t>
      </w:r>
    </w:p>
    <w:p w:rsidR="002C06B7" w:rsidRDefault="00C33788">
      <w:pPr>
        <w:rPr>
          <w:szCs w:val="22"/>
          <w:lang w:eastAsia="en-US"/>
        </w:rPr>
      </w:pPr>
      <w:r>
        <w:rPr>
          <w:szCs w:val="22"/>
          <w:lang w:eastAsia="en-US"/>
        </w:rPr>
        <w:t>Les offres inappropriées, inacceptables ou irrégulières au sens des articles L. 2152</w:t>
      </w:r>
      <w:r>
        <w:rPr>
          <w:szCs w:val="22"/>
          <w:lang w:eastAsia="en-US"/>
        </w:rPr>
        <w:noBreakHyphen/>
        <w:t>2 à L. 2152</w:t>
      </w:r>
      <w:r>
        <w:rPr>
          <w:szCs w:val="22"/>
          <w:lang w:eastAsia="en-US"/>
        </w:rPr>
        <w:noBreakHyphen/>
        <w:t xml:space="preserve">4 du Code de la commande publique sont éliminées. Le cas échéant, il peut s’agir d’offres pour lesquelles des précisions ont été demandées par le pouvoir adjudicateur. </w:t>
      </w:r>
    </w:p>
    <w:p w:rsidR="002C06B7" w:rsidRDefault="00C33788">
      <w:pPr>
        <w:rPr>
          <w:szCs w:val="22"/>
          <w:lang w:eastAsia="en-US"/>
        </w:rPr>
      </w:pPr>
      <w:r>
        <w:rPr>
          <w:szCs w:val="22"/>
          <w:lang w:eastAsia="en-US"/>
        </w:rPr>
        <w:t xml:space="preserve">Conformément aux dispositions de l’article R. 2152-2 du Code de la commande publique, le pouvoir adjudicateur peut </w:t>
      </w:r>
      <w:r>
        <w:rPr>
          <w:color w:val="000000"/>
          <w:szCs w:val="22"/>
        </w:rPr>
        <w:t xml:space="preserve">autoriser tous les soumissionnaires concernés à régulariser leur offre, dans un délai fixé par le pouvoir adjudicateur, </w:t>
      </w:r>
      <w:r>
        <w:rPr>
          <w:szCs w:val="22"/>
        </w:rPr>
        <w:t>à condition que leur offre ne soit pas anormalement basse</w:t>
      </w:r>
      <w:r>
        <w:rPr>
          <w:color w:val="000000"/>
          <w:szCs w:val="22"/>
        </w:rPr>
        <w:t>.</w:t>
      </w:r>
    </w:p>
    <w:p w:rsidR="002C06B7" w:rsidRDefault="00C33788">
      <w:pPr>
        <w:rPr>
          <w:color w:val="000000"/>
          <w:szCs w:val="22"/>
        </w:rPr>
      </w:pPr>
      <w:r>
        <w:rPr>
          <w:color w:val="000000"/>
          <w:szCs w:val="22"/>
        </w:rPr>
        <w:t>La régularisation des offres ne peut être l’occasion pour les soumissionnaires d’améliorer leur offre sur des points dont la régularité n’est pas en cause. Les caractéristiques substantielles des offres ne peuvent en aucun cas être modifiées.</w:t>
      </w:r>
    </w:p>
    <w:p w:rsidR="002C06B7" w:rsidRDefault="002C06B7">
      <w:pPr>
        <w:rPr>
          <w:color w:val="000000"/>
          <w:szCs w:val="22"/>
        </w:rPr>
      </w:pPr>
    </w:p>
    <w:p w:rsidR="002C06B7" w:rsidRDefault="00C33788">
      <w:pPr>
        <w:keepNext/>
        <w:numPr>
          <w:ilvl w:val="1"/>
          <w:numId w:val="19"/>
        </w:numPr>
        <w:shd w:val="pct15" w:color="auto" w:fill="auto"/>
        <w:tabs>
          <w:tab w:val="clear" w:pos="720"/>
          <w:tab w:val="num" w:pos="360"/>
        </w:tabs>
        <w:spacing w:before="240"/>
        <w:outlineLvl w:val="1"/>
        <w:rPr>
          <w:rFonts w:eastAsia="MS Mincho" w:cs="Times New Roman"/>
          <w:b/>
          <w:bCs/>
          <w:caps/>
          <w:color w:val="000000"/>
          <w:szCs w:val="26"/>
        </w:rPr>
      </w:pPr>
      <w:bookmarkStart w:id="114" w:name="_Toc68114247"/>
      <w:bookmarkStart w:id="115" w:name="_Toc195609962"/>
      <w:r>
        <w:rPr>
          <w:rFonts w:eastAsia="MS Mincho" w:cs="Times New Roman"/>
          <w:b/>
          <w:bCs/>
          <w:caps/>
          <w:szCs w:val="26"/>
        </w:rPr>
        <w:t>Deroulement de la Negociation</w:t>
      </w:r>
      <w:bookmarkEnd w:id="114"/>
      <w:bookmarkEnd w:id="115"/>
    </w:p>
    <w:p w:rsidR="002C06B7" w:rsidRDefault="00C33788">
      <w:pPr>
        <w:pStyle w:val="Titre3"/>
        <w:rPr>
          <w:rFonts w:ascii="Marianne" w:hAnsi="Marianne"/>
        </w:rPr>
      </w:pPr>
      <w:bookmarkStart w:id="116" w:name="_Toc68114248"/>
      <w:bookmarkStart w:id="117" w:name="_Toc193705535"/>
      <w:bookmarkStart w:id="118" w:name="_Toc195609963"/>
      <w:bookmarkStart w:id="119" w:name="_Toc198742648"/>
      <w:bookmarkStart w:id="120" w:name="_Toc202861582"/>
      <w:r>
        <w:rPr>
          <w:rFonts w:ascii="Marianne" w:hAnsi="Marianne"/>
        </w:rPr>
        <w:t>Précision liminaire</w:t>
      </w:r>
      <w:bookmarkEnd w:id="116"/>
      <w:bookmarkEnd w:id="117"/>
      <w:bookmarkEnd w:id="118"/>
      <w:bookmarkEnd w:id="119"/>
      <w:bookmarkEnd w:id="120"/>
      <w:r>
        <w:rPr>
          <w:rFonts w:ascii="Marianne" w:hAnsi="Marianne"/>
        </w:rPr>
        <w:t xml:space="preserve">  </w:t>
      </w:r>
    </w:p>
    <w:p w:rsidR="002C06B7" w:rsidRDefault="00C33788">
      <w:pPr>
        <w:rPr>
          <w:color w:val="000000"/>
        </w:rPr>
      </w:pPr>
      <w:r>
        <w:rPr>
          <w:color w:val="000000"/>
        </w:rPr>
        <w:t>L’acheteur se réserve la possibilité, au vu des offres remises, de ne pas négocier et d’attribuer le marché sur la base des offres initiales.</w:t>
      </w:r>
    </w:p>
    <w:p w:rsidR="002C06B7" w:rsidRDefault="00C33788">
      <w:pPr>
        <w:rPr>
          <w:color w:val="000000"/>
        </w:rPr>
      </w:pPr>
      <w:r>
        <w:rPr>
          <w:color w:val="000000"/>
        </w:rPr>
        <w:t>Ainsi, le découpage de la consultation en deux phases tel que prévu ci-après n’est applicable que dans le cas où l’acheteur décide de négocier sur la base des offres transmises.</w:t>
      </w:r>
    </w:p>
    <w:p w:rsidR="002C06B7" w:rsidRDefault="00C33788">
      <w:pPr>
        <w:pStyle w:val="Titre3"/>
        <w:rPr>
          <w:rFonts w:ascii="Marianne" w:hAnsi="Marianne"/>
        </w:rPr>
      </w:pPr>
      <w:bookmarkStart w:id="121" w:name="_Toc68114249"/>
      <w:bookmarkStart w:id="122" w:name="_Toc193705536"/>
      <w:bookmarkStart w:id="123" w:name="_Toc195609964"/>
      <w:bookmarkStart w:id="124" w:name="_Toc198742649"/>
      <w:bookmarkStart w:id="125" w:name="_Toc202861583"/>
      <w:r>
        <w:rPr>
          <w:rFonts w:ascii="Marianne" w:hAnsi="Marianne"/>
        </w:rPr>
        <w:t>Phase 1 : dépôt et examen des offres initiales</w:t>
      </w:r>
      <w:bookmarkEnd w:id="121"/>
      <w:bookmarkEnd w:id="122"/>
      <w:bookmarkEnd w:id="123"/>
      <w:bookmarkEnd w:id="124"/>
      <w:bookmarkEnd w:id="125"/>
      <w:r>
        <w:rPr>
          <w:rFonts w:ascii="Marianne" w:hAnsi="Marianne"/>
        </w:rPr>
        <w:t xml:space="preserve">   </w:t>
      </w:r>
    </w:p>
    <w:p w:rsidR="002C06B7" w:rsidRDefault="00C33788">
      <w:pPr>
        <w:rPr>
          <w:color w:val="000000"/>
        </w:rPr>
      </w:pPr>
      <w:r>
        <w:rPr>
          <w:color w:val="000000"/>
        </w:rPr>
        <w:t>En réponse au DCOE, les candidats établissent une offre initiale (constituée d’une offre technique et financière) à laquelle sont jointes les informations de candidature.</w:t>
      </w:r>
    </w:p>
    <w:p w:rsidR="002C06B7" w:rsidRDefault="00C33788">
      <w:pPr>
        <w:rPr>
          <w:color w:val="000000"/>
        </w:rPr>
      </w:pPr>
      <w:r>
        <w:rPr>
          <w:color w:val="000000"/>
        </w:rPr>
        <w:t>Les offres initiales des candidats sont remises avant la date limite de réception des offres précisée à l’article III.2.1.</w:t>
      </w:r>
    </w:p>
    <w:p w:rsidR="002C06B7" w:rsidRDefault="00C33788">
      <w:pPr>
        <w:rPr>
          <w:color w:val="000000"/>
        </w:rPr>
      </w:pPr>
      <w:r>
        <w:rPr>
          <w:color w:val="000000"/>
        </w:rPr>
        <w:t>L’acheteur procède à une première analyse des offres initiales remises. Cet examen s’opère sur la base des critères et sous-critères énoncés à l’article V.2 du présent document. Un premier classement des candidats est établi. Ce classement ne peut être divulgué avant la notification du marché.</w:t>
      </w:r>
    </w:p>
    <w:p w:rsidR="002C06B7" w:rsidRDefault="00C33788">
      <w:pPr>
        <w:rPr>
          <w:color w:val="000000"/>
        </w:rPr>
      </w:pPr>
      <w:r>
        <w:rPr>
          <w:color w:val="000000"/>
        </w:rPr>
        <w:t>Le pouvoir adjudicateur se réserve le droit d'engager des négociations avec les trois premiers soumissionnaire (ou moins si le nombre de soumissionnaires est inférieur à trois) arrivés en tête à l’issue d’une première analyse des offres.</w:t>
      </w:r>
    </w:p>
    <w:p w:rsidR="002C06B7" w:rsidRDefault="00C33788">
      <w:pPr>
        <w:pStyle w:val="Titre3"/>
        <w:rPr>
          <w:rFonts w:ascii="Marianne" w:hAnsi="Marianne"/>
        </w:rPr>
      </w:pPr>
      <w:bookmarkStart w:id="126" w:name="_Toc68114250"/>
      <w:bookmarkStart w:id="127" w:name="_Toc193705537"/>
      <w:bookmarkStart w:id="128" w:name="_Toc195609965"/>
      <w:bookmarkStart w:id="129" w:name="_Toc198742650"/>
      <w:bookmarkStart w:id="130" w:name="_Toc202861584"/>
      <w:r>
        <w:rPr>
          <w:rFonts w:ascii="Marianne" w:hAnsi="Marianne"/>
        </w:rPr>
        <w:t>Phase 2 : négociations</w:t>
      </w:r>
      <w:bookmarkEnd w:id="126"/>
      <w:bookmarkEnd w:id="127"/>
      <w:bookmarkEnd w:id="128"/>
      <w:bookmarkEnd w:id="129"/>
      <w:bookmarkEnd w:id="130"/>
      <w:r>
        <w:rPr>
          <w:rFonts w:ascii="Marianne" w:hAnsi="Marianne"/>
        </w:rPr>
        <w:t xml:space="preserve">    </w:t>
      </w:r>
    </w:p>
    <w:p w:rsidR="002C06B7" w:rsidRDefault="00C33788">
      <w:pPr>
        <w:rPr>
          <w:color w:val="000000"/>
        </w:rPr>
      </w:pPr>
      <w:r>
        <w:rPr>
          <w:color w:val="000000"/>
        </w:rPr>
        <w:t>Dans le respect de l’égalité de traitement des candidats, les négociations ont pour but de rechercher l’offre qui apparaîtra comme la plus adéquate au regard du besoin exprimé par l’acheteur et des critères de sélection retenus.</w:t>
      </w:r>
    </w:p>
    <w:p w:rsidR="002C06B7" w:rsidRDefault="00C33788">
      <w:pPr>
        <w:rPr>
          <w:color w:val="000000"/>
        </w:rPr>
      </w:pPr>
      <w:r>
        <w:rPr>
          <w:color w:val="000000"/>
        </w:rPr>
        <w:t>Les négociations peuvent traiter :</w:t>
      </w:r>
    </w:p>
    <w:p w:rsidR="002C06B7" w:rsidRDefault="00C33788">
      <w:pPr>
        <w:rPr>
          <w:color w:val="000000"/>
        </w:rPr>
      </w:pPr>
      <w:r>
        <w:rPr>
          <w:color w:val="000000"/>
        </w:rPr>
        <w:lastRenderedPageBreak/>
        <w:t>- de l’offre des candidats, sans que ne puissent toutefois être remises en cause les caractéristiques substantielles de celle-ci ;</w:t>
      </w:r>
    </w:p>
    <w:p w:rsidR="002C06B7" w:rsidRDefault="00C33788">
      <w:pPr>
        <w:rPr>
          <w:color w:val="000000"/>
        </w:rPr>
      </w:pPr>
      <w:r>
        <w:rPr>
          <w:color w:val="000000"/>
        </w:rPr>
        <w:t>- de l’accord-cadre, sans que ne puissent toutefois être bouleversés à la fois l’économie générale du marché et le besoin exprimé par l’acheteur dans le dossier de consultation des entreprises.</w:t>
      </w:r>
    </w:p>
    <w:p w:rsidR="002C06B7" w:rsidRDefault="00C33788">
      <w:pPr>
        <w:rPr>
          <w:color w:val="000000"/>
        </w:rPr>
      </w:pPr>
      <w:r>
        <w:rPr>
          <w:color w:val="000000"/>
        </w:rPr>
        <w:t>Les négociations portent à la fois sur les aspects techniques, juridiques et financiers du marché. Lorsque la phase de négociation est close par l’acheteur, celle-ci en informe les candidats. Ces derniers remettent alors une offre dite finale intégrant toutes modifications découlant des négociations.</w:t>
      </w:r>
    </w:p>
    <w:p w:rsidR="002C06B7" w:rsidRDefault="00C33788">
      <w:pPr>
        <w:rPr>
          <w:color w:val="000000"/>
        </w:rPr>
      </w:pPr>
      <w:r>
        <w:rPr>
          <w:color w:val="000000"/>
        </w:rPr>
        <w:t>L’acheteur procède alors à l’analyse des offres finales, en s’appuyant également sur tous les éléments qui lui ont été communiqués au cours de la consultation. Cette analyse est réalisée en application des critères et sous-critères énoncés à l’article V.2.</w:t>
      </w:r>
    </w:p>
    <w:p w:rsidR="002C06B7" w:rsidRDefault="00C33788">
      <w:pPr>
        <w:rPr>
          <w:color w:val="000000"/>
        </w:rPr>
      </w:pPr>
      <w:r>
        <w:rPr>
          <w:color w:val="000000"/>
        </w:rPr>
        <w:t>Cette analyse aboutit à un classement final au vu duquel l’accord-cadre est attribué au candidat ayant proposé l’offre économique la plus avantageuse. Les candidats rejetés sont informés de ce choix.</w:t>
      </w:r>
    </w:p>
    <w:p w:rsidR="002C06B7" w:rsidRDefault="00C33788">
      <w:pPr>
        <w:rPr>
          <w:lang w:eastAsia="en-US"/>
        </w:rPr>
      </w:pPr>
      <w:r>
        <w:rPr>
          <w:lang w:eastAsia="en-US"/>
        </w:rPr>
        <w:t>En cas de non remise d’une offre par les candidats à l’issue de la phase de négociation, l’offre initiale, ou la dernière offre remise, est considérée comme l’offre finale, et est analysée à ce titre.</w:t>
      </w:r>
    </w:p>
    <w:p w:rsidR="002C06B7" w:rsidRDefault="00C33788">
      <w:pPr>
        <w:rPr>
          <w:lang w:eastAsia="en-US"/>
        </w:rPr>
      </w:pPr>
      <w:r>
        <w:rPr>
          <w:lang w:eastAsia="en-US"/>
        </w:rPr>
        <w:t>L’acheteur se réserve la possibilité d’organiser un second tour de négociation.</w:t>
      </w:r>
    </w:p>
    <w:p w:rsidR="002C06B7" w:rsidRDefault="002C06B7">
      <w:pPr>
        <w:rPr>
          <w:color w:val="000000"/>
          <w:szCs w:val="22"/>
        </w:rPr>
      </w:pPr>
    </w:p>
    <w:p w:rsidR="002C06B7" w:rsidRDefault="00C33788">
      <w:pPr>
        <w:pStyle w:val="Titre2"/>
      </w:pPr>
      <w:bookmarkStart w:id="131" w:name="_Toc198742651"/>
      <w:bookmarkStart w:id="132" w:name="_Toc202861585"/>
      <w:r>
        <w:t>Achèvement de la consultation</w:t>
      </w:r>
      <w:bookmarkEnd w:id="131"/>
      <w:bookmarkEnd w:id="132"/>
    </w:p>
    <w:p w:rsidR="002C06B7" w:rsidRDefault="00C33788">
      <w:pPr>
        <w:pStyle w:val="Titre3"/>
        <w:rPr>
          <w:rFonts w:ascii="Marianne" w:hAnsi="Marianne"/>
        </w:rPr>
      </w:pPr>
      <w:bookmarkStart w:id="133" w:name="_Toc198742652"/>
      <w:bookmarkStart w:id="134" w:name="_Toc202861586"/>
      <w:r>
        <w:rPr>
          <w:rFonts w:ascii="Marianne" w:hAnsi="Marianne"/>
        </w:rPr>
        <w:t>Attribution de l’accord-cadre</w:t>
      </w:r>
      <w:bookmarkEnd w:id="133"/>
      <w:bookmarkEnd w:id="134"/>
    </w:p>
    <w:p w:rsidR="002C06B7" w:rsidRDefault="00C33788">
      <w:pPr>
        <w:rPr>
          <w:szCs w:val="22"/>
          <w:lang w:eastAsia="en-US"/>
        </w:rPr>
      </w:pPr>
      <w:r>
        <w:rPr>
          <w:szCs w:val="22"/>
          <w:lang w:eastAsia="en-US"/>
        </w:rPr>
        <w:t>Les offres régulières, acceptables et appropriées, et qui n'ont pas été éliminées en raison de leur caractère anormalement bas, sont classées par ordre décroissant. L’offre la mieux classée est ensuite retenue.</w:t>
      </w:r>
    </w:p>
    <w:p w:rsidR="002C06B7" w:rsidRDefault="00C33788">
      <w:pPr>
        <w:spacing w:before="0" w:after="0"/>
        <w:rPr>
          <w:rFonts w:cs="Calibri"/>
          <w:szCs w:val="22"/>
        </w:rPr>
      </w:pPr>
      <w:r>
        <w:rPr>
          <w:rFonts w:cs="Calibri"/>
          <w:szCs w:val="22"/>
        </w:rPr>
        <w:t>Le soumissionnaire auquel il est envisagé d'attribuer le marché public devra produire dans un délai imparti les documents suivants.</w:t>
      </w:r>
    </w:p>
    <w:p w:rsidR="002C06B7" w:rsidRDefault="002C06B7">
      <w:pPr>
        <w:spacing w:before="0" w:after="0"/>
        <w:rPr>
          <w:rFonts w:cs="Calibri"/>
          <w:b/>
          <w:szCs w:val="22"/>
        </w:rPr>
      </w:pPr>
    </w:p>
    <w:p w:rsidR="002C06B7" w:rsidRDefault="00C33788">
      <w:pPr>
        <w:spacing w:before="0" w:after="0"/>
        <w:rPr>
          <w:rFonts w:cs="Calibri"/>
          <w:b/>
          <w:szCs w:val="22"/>
        </w:rPr>
      </w:pPr>
      <w:r>
        <w:rPr>
          <w:rFonts w:cs="Calibri"/>
          <w:b/>
          <w:szCs w:val="22"/>
        </w:rPr>
        <w:t>Néanmoins, les candidats sont informés qu’ils sont libres de remettre l’ensemble de ces documents lors du dépôt de leur pli.</w:t>
      </w:r>
    </w:p>
    <w:p w:rsidR="002C06B7" w:rsidRDefault="002C06B7">
      <w:pPr>
        <w:spacing w:before="0" w:after="0"/>
        <w:rPr>
          <w:rFonts w:cs="Calibri"/>
          <w:szCs w:val="22"/>
        </w:rPr>
      </w:pPr>
    </w:p>
    <w:p w:rsidR="002C06B7" w:rsidRDefault="00C33788">
      <w:pPr>
        <w:pStyle w:val="Paragraphedeliste"/>
        <w:numPr>
          <w:ilvl w:val="0"/>
          <w:numId w:val="31"/>
        </w:numPr>
        <w:spacing w:before="0" w:after="0"/>
        <w:rPr>
          <w:rFonts w:cs="Calibri"/>
          <w:szCs w:val="22"/>
        </w:rPr>
      </w:pPr>
      <w:r>
        <w:rPr>
          <w:rFonts w:cs="Calibri"/>
          <w:szCs w:val="22"/>
        </w:rPr>
        <w:t xml:space="preserve">L'acte d'engagement complété et </w:t>
      </w:r>
      <w:r>
        <w:rPr>
          <w:rFonts w:cs="Calibri"/>
          <w:b/>
          <w:szCs w:val="22"/>
        </w:rPr>
        <w:t>signé</w:t>
      </w:r>
      <w:r>
        <w:rPr>
          <w:rFonts w:ascii="Calibri" w:hAnsi="Calibri" w:cs="Calibri"/>
          <w:b/>
          <w:szCs w:val="22"/>
        </w:rPr>
        <w:t> </w:t>
      </w:r>
      <w:r>
        <w:rPr>
          <w:rFonts w:cs="Marianne"/>
          <w:b/>
          <w:szCs w:val="22"/>
        </w:rPr>
        <w:t>é</w:t>
      </w:r>
      <w:r>
        <w:rPr>
          <w:rFonts w:cs="Calibri"/>
          <w:b/>
          <w:szCs w:val="22"/>
        </w:rPr>
        <w:t>lectroniquement</w:t>
      </w:r>
      <w:r>
        <w:rPr>
          <w:rFonts w:cs="Calibri"/>
          <w:szCs w:val="22"/>
        </w:rPr>
        <w:t xml:space="preserve"> ;</w:t>
      </w:r>
    </w:p>
    <w:p w:rsidR="002C06B7" w:rsidRDefault="002C06B7">
      <w:pPr>
        <w:spacing w:before="0" w:after="0"/>
        <w:rPr>
          <w:rFonts w:cs="Calibri"/>
          <w:i/>
          <w:szCs w:val="22"/>
        </w:rPr>
      </w:pPr>
    </w:p>
    <w:p w:rsidR="002C06B7" w:rsidRDefault="00C33788">
      <w:pPr>
        <w:spacing w:before="0" w:after="0"/>
        <w:rPr>
          <w:rFonts w:cs="Calibri"/>
          <w:i/>
          <w:szCs w:val="22"/>
        </w:rPr>
      </w:pPr>
      <w:r>
        <w:rPr>
          <w:rFonts w:cs="Calibri"/>
          <w:i/>
          <w:szCs w:val="22"/>
        </w:rPr>
        <w:t>En ce qui concerne les groupements d'opérateurs économiques, dans l’hypothèse où ils ne signent pas tous l'acte d'engagement, il conviendra de transmettre le document d'habilitation signé par tous les membres du groupement;</w:t>
      </w:r>
    </w:p>
    <w:p w:rsidR="002C06B7" w:rsidRDefault="002C06B7">
      <w:pPr>
        <w:spacing w:before="0" w:after="0"/>
        <w:rPr>
          <w:rFonts w:cs="Calibri"/>
          <w:i/>
          <w:szCs w:val="22"/>
        </w:rPr>
      </w:pPr>
    </w:p>
    <w:p w:rsidR="002C06B7" w:rsidRDefault="00C33788">
      <w:pPr>
        <w:pStyle w:val="Paragraphedeliste"/>
        <w:numPr>
          <w:ilvl w:val="0"/>
          <w:numId w:val="31"/>
        </w:numPr>
        <w:spacing w:before="0" w:after="0"/>
        <w:rPr>
          <w:rFonts w:cs="Calibri"/>
          <w:szCs w:val="22"/>
        </w:rPr>
      </w:pPr>
      <w:r>
        <w:rPr>
          <w:rFonts w:cs="Calibri"/>
          <w:szCs w:val="22"/>
        </w:rPr>
        <w:t>Les délégations de pouvoir appropriées</w:t>
      </w:r>
      <w:r>
        <w:rPr>
          <w:rFonts w:ascii="Calibri" w:hAnsi="Calibri" w:cs="Calibri"/>
          <w:szCs w:val="22"/>
        </w:rPr>
        <w:t> </w:t>
      </w:r>
      <w:r>
        <w:rPr>
          <w:rFonts w:cs="Calibri"/>
          <w:szCs w:val="22"/>
        </w:rPr>
        <w:t>;</w:t>
      </w:r>
    </w:p>
    <w:p w:rsidR="002C06B7" w:rsidRDefault="00FC4624">
      <w:pPr>
        <w:pStyle w:val="Paragraphedeliste"/>
        <w:numPr>
          <w:ilvl w:val="0"/>
          <w:numId w:val="31"/>
        </w:numPr>
        <w:rPr>
          <w:rFonts w:cs="Calibri"/>
          <w:szCs w:val="22"/>
        </w:rPr>
      </w:pPr>
      <w:r>
        <w:rPr>
          <w:rFonts w:cs="Calibri"/>
          <w:szCs w:val="22"/>
        </w:rPr>
        <w:t>En</w:t>
      </w:r>
      <w:r w:rsidR="00C33788">
        <w:rPr>
          <w:rFonts w:cs="Calibri"/>
          <w:szCs w:val="22"/>
        </w:rPr>
        <w:t xml:space="preserve"> cas de sous-traitance, la déclaration de sous-traitance (DC4 ou équivalent) signée par le sous-traitant et le soumissionnaire ;</w:t>
      </w:r>
      <w:r w:rsidR="00C33788">
        <w:t xml:space="preserve"> </w:t>
      </w:r>
    </w:p>
    <w:p w:rsidR="002C06B7" w:rsidRDefault="00C33788">
      <w:pPr>
        <w:pStyle w:val="Paragraphedeliste"/>
        <w:numPr>
          <w:ilvl w:val="0"/>
          <w:numId w:val="31"/>
        </w:numPr>
        <w:rPr>
          <w:rFonts w:cs="Calibri"/>
          <w:szCs w:val="22"/>
        </w:rPr>
      </w:pPr>
      <w:r>
        <w:rPr>
          <w:rFonts w:cs="Calibri"/>
          <w:szCs w:val="22"/>
        </w:rPr>
        <w:t xml:space="preserve">L’annexe VIII du règlement de consultation ou une attestation sur l’honneur que l’attributaire ne se trouve pas dans un cas d'exclusion mentionné aux articles L. 2141-1, L. 2141-4 et L. 2141-7 à L. 2141-10 du Code qu’il n’est pas établi en Russie, n’est pas </w:t>
      </w:r>
      <w:r>
        <w:rPr>
          <w:rFonts w:cs="Calibri"/>
          <w:szCs w:val="22"/>
        </w:rPr>
        <w:lastRenderedPageBreak/>
        <w:t>détenu majoritairement de manière directe ou indirecte par une entité établie en Russie ou n’agit pas pour le compte de l’un d’eux ;</w:t>
      </w:r>
    </w:p>
    <w:p w:rsidR="002C06B7" w:rsidRDefault="00C33788">
      <w:pPr>
        <w:pStyle w:val="Paragraphedeliste"/>
        <w:numPr>
          <w:ilvl w:val="0"/>
          <w:numId w:val="31"/>
        </w:numPr>
        <w:spacing w:before="0" w:after="0"/>
        <w:rPr>
          <w:rFonts w:cs="Calibri"/>
          <w:szCs w:val="22"/>
        </w:rPr>
      </w:pPr>
      <w:r>
        <w:rPr>
          <w:rFonts w:cs="Calibri"/>
          <w:szCs w:val="22"/>
        </w:rPr>
        <w:t>Le ou les relevé(s) d'identité bancaire ou équivalent ;</w:t>
      </w:r>
    </w:p>
    <w:p w:rsidR="002C06B7" w:rsidRDefault="00C33788">
      <w:pPr>
        <w:pStyle w:val="Paragraphedeliste"/>
        <w:numPr>
          <w:ilvl w:val="0"/>
          <w:numId w:val="31"/>
        </w:numPr>
        <w:spacing w:before="0" w:after="0"/>
        <w:rPr>
          <w:rFonts w:cs="Calibri"/>
          <w:szCs w:val="22"/>
        </w:rPr>
      </w:pPr>
      <w:r>
        <w:rPr>
          <w:rFonts w:cs="Calibri"/>
          <w:szCs w:val="22"/>
        </w:rPr>
        <w:t xml:space="preserve">Une attestation d’assurance </w:t>
      </w:r>
      <w:r>
        <w:rPr>
          <w:rFonts w:cs="Calibri"/>
          <w:bCs/>
          <w:szCs w:val="22"/>
        </w:rPr>
        <w:t>permettant de garantir sa responsabilité à l’égard du pouvoir adjudicateur et des tiers, victimes d’accidents ou de dommages causés par l’exécution des prestations</w:t>
      </w:r>
      <w:r>
        <w:rPr>
          <w:rFonts w:ascii="Calibri" w:hAnsi="Calibri" w:cs="Calibri"/>
          <w:bCs/>
          <w:szCs w:val="22"/>
        </w:rPr>
        <w:t> </w:t>
      </w:r>
      <w:r>
        <w:rPr>
          <w:rFonts w:cs="Calibri"/>
          <w:bCs/>
          <w:szCs w:val="22"/>
        </w:rPr>
        <w:t>;</w:t>
      </w:r>
    </w:p>
    <w:p w:rsidR="002C06B7" w:rsidRDefault="00FC4624">
      <w:pPr>
        <w:pStyle w:val="Paragraphedeliste"/>
        <w:numPr>
          <w:ilvl w:val="0"/>
          <w:numId w:val="31"/>
        </w:numPr>
        <w:spacing w:before="0" w:after="0"/>
        <w:rPr>
          <w:rFonts w:cs="Calibri"/>
          <w:szCs w:val="22"/>
        </w:rPr>
      </w:pPr>
      <w:r>
        <w:rPr>
          <w:rFonts w:cs="Calibri"/>
          <w:szCs w:val="22"/>
        </w:rPr>
        <w:t>Si</w:t>
      </w:r>
      <w:r w:rsidR="00C33788">
        <w:rPr>
          <w:rFonts w:cs="Calibri"/>
          <w:szCs w:val="22"/>
        </w:rPr>
        <w:t xml:space="preserve"> le soumissionnaire emploie des salariés étrangers, la liste nominative des salariés étrangers qu'il emploie et soumis à l'autorisation de travail prévue à l'article L. 5221-2 du Code du travail. Cette liste doit comporter toutes les informations figurant à l'article D.8254-2 du Code du travail (1° Sa date d'embauche ; 2° Sa nationalité ; 3° Le type et le numéro d'ordre du titre valant autorisation de travail)</w:t>
      </w:r>
    </w:p>
    <w:p w:rsidR="002C06B7" w:rsidRDefault="00C33788">
      <w:pPr>
        <w:pStyle w:val="Paragraphedeliste"/>
        <w:numPr>
          <w:ilvl w:val="0"/>
          <w:numId w:val="31"/>
        </w:numPr>
        <w:spacing w:before="0" w:after="0"/>
        <w:rPr>
          <w:rFonts w:cs="Calibri"/>
          <w:szCs w:val="22"/>
        </w:rPr>
      </w:pPr>
      <w:r>
        <w:rPr>
          <w:rFonts w:cs="Calibri"/>
          <w:szCs w:val="22"/>
        </w:rPr>
        <w:t>En cas de redressement judiciaire, ou une procédure équivalente régie par un droit étranger, la copie du ou des jugements prononcés ;</w:t>
      </w:r>
    </w:p>
    <w:p w:rsidR="002C06B7" w:rsidRDefault="002C06B7">
      <w:pPr>
        <w:spacing w:before="0" w:after="0"/>
        <w:rPr>
          <w:rFonts w:cs="Calibri"/>
          <w:szCs w:val="22"/>
          <w:u w:val="single"/>
        </w:rPr>
      </w:pPr>
    </w:p>
    <w:p w:rsidR="002C06B7" w:rsidRDefault="00C33788">
      <w:pPr>
        <w:spacing w:before="0" w:after="0"/>
        <w:rPr>
          <w:rFonts w:cs="Calibri"/>
          <w:szCs w:val="22"/>
        </w:rPr>
      </w:pPr>
      <w:r>
        <w:rPr>
          <w:rFonts w:cs="Calibri"/>
          <w:szCs w:val="22"/>
          <w:u w:val="single"/>
        </w:rPr>
        <w:t>Lorsque le soumissionnaire est établi en France</w:t>
      </w:r>
      <w:r>
        <w:rPr>
          <w:rFonts w:cs="Calibri"/>
          <w:szCs w:val="22"/>
        </w:rPr>
        <w:t xml:space="preserve"> :</w:t>
      </w:r>
    </w:p>
    <w:p w:rsidR="002C06B7" w:rsidRDefault="002C06B7">
      <w:pPr>
        <w:spacing w:before="0" w:after="0"/>
        <w:rPr>
          <w:rFonts w:cs="Calibri"/>
          <w:szCs w:val="22"/>
        </w:rPr>
      </w:pPr>
    </w:p>
    <w:p w:rsidR="002C06B7" w:rsidRDefault="00FC4624">
      <w:pPr>
        <w:pStyle w:val="Paragraphedeliste"/>
        <w:numPr>
          <w:ilvl w:val="0"/>
          <w:numId w:val="31"/>
        </w:numPr>
        <w:spacing w:before="0" w:after="0"/>
        <w:rPr>
          <w:rFonts w:cs="Calibri"/>
          <w:szCs w:val="22"/>
        </w:rPr>
      </w:pPr>
      <w:r>
        <w:rPr>
          <w:rFonts w:cs="Calibri"/>
          <w:szCs w:val="22"/>
        </w:rPr>
        <w:t>Le</w:t>
      </w:r>
      <w:r w:rsidR="00C33788">
        <w:rPr>
          <w:rFonts w:cs="Calibri"/>
          <w:szCs w:val="22"/>
        </w:rPr>
        <w:t xml:space="preserve"> numéro SIREN délivré par l’INSEE;</w:t>
      </w:r>
    </w:p>
    <w:p w:rsidR="002C06B7" w:rsidRDefault="00C33788">
      <w:pPr>
        <w:pStyle w:val="Paragraphedeliste"/>
        <w:numPr>
          <w:ilvl w:val="0"/>
          <w:numId w:val="31"/>
        </w:numPr>
        <w:spacing w:before="0" w:after="0"/>
        <w:rPr>
          <w:rFonts w:cs="Calibri"/>
          <w:szCs w:val="22"/>
        </w:rPr>
      </w:pPr>
      <w:r>
        <w:rPr>
          <w:rFonts w:cs="Calibri"/>
          <w:szCs w:val="22"/>
        </w:rPr>
        <w:t>Pour les entreprises en cours d'inscription – un récépissé de dépôt de déclaration auprès d'un centre de formalités des entreprises (CFE);</w:t>
      </w:r>
    </w:p>
    <w:p w:rsidR="002C06B7" w:rsidRDefault="00C33788">
      <w:pPr>
        <w:pStyle w:val="Paragraphedeliste"/>
        <w:numPr>
          <w:ilvl w:val="0"/>
          <w:numId w:val="31"/>
        </w:numPr>
        <w:spacing w:before="0" w:after="0"/>
        <w:rPr>
          <w:rFonts w:cs="Calibri"/>
          <w:szCs w:val="22"/>
        </w:rPr>
      </w:pPr>
      <w:r>
        <w:rPr>
          <w:rFonts w:cs="Calibri"/>
          <w:szCs w:val="22"/>
        </w:rPr>
        <w:t>Le cas échéant, dans le cas où elles ne sont pas disponibles sur PLACE, le(s) certificat(s) délivré(s)par les administrations et organismes compétents suivant(s) :</w:t>
      </w:r>
    </w:p>
    <w:p w:rsidR="002C06B7" w:rsidRDefault="00FC4624">
      <w:pPr>
        <w:pStyle w:val="Paragraphedeliste"/>
        <w:numPr>
          <w:ilvl w:val="2"/>
          <w:numId w:val="31"/>
        </w:numPr>
        <w:spacing w:before="0" w:after="0"/>
        <w:rPr>
          <w:rFonts w:cs="Calibri"/>
          <w:szCs w:val="22"/>
        </w:rPr>
      </w:pPr>
      <w:r>
        <w:rPr>
          <w:rFonts w:cs="Calibri"/>
          <w:szCs w:val="22"/>
        </w:rPr>
        <w:t>Le</w:t>
      </w:r>
      <w:r w:rsidR="00C33788">
        <w:rPr>
          <w:rFonts w:cs="Calibri"/>
          <w:szCs w:val="22"/>
        </w:rPr>
        <w:t xml:space="preserve"> certificat attestant la souscription des déclarations et paiements prouvant qu'il a satisfait à ses obligations fiscales ; </w:t>
      </w:r>
    </w:p>
    <w:p w:rsidR="002C06B7" w:rsidRDefault="00C33788">
      <w:pPr>
        <w:spacing w:before="0" w:after="0"/>
        <w:rPr>
          <w:rFonts w:cs="Calibri"/>
          <w:szCs w:val="22"/>
        </w:rPr>
      </w:pPr>
      <w:r>
        <w:rPr>
          <w:rFonts w:cs="Calibri"/>
          <w:szCs w:val="22"/>
        </w:rPr>
        <w:t xml:space="preserve">Nb : accessible depuis compte fiscal professionnel sur le site : </w:t>
      </w:r>
      <w:hyperlink r:id="rId18" w:tooltip="http://www.impots.gouv.fr/" w:history="1">
        <w:r>
          <w:rPr>
            <w:rStyle w:val="Lienhypertexte"/>
            <w:rFonts w:cs="Calibri"/>
            <w:szCs w:val="22"/>
          </w:rPr>
          <w:t>http://www.impots.gouv.fr/</w:t>
        </w:r>
      </w:hyperlink>
      <w:r>
        <w:rPr>
          <w:rFonts w:cs="Calibri"/>
          <w:szCs w:val="22"/>
        </w:rPr>
        <w:t>.</w:t>
      </w:r>
    </w:p>
    <w:p w:rsidR="002C06B7" w:rsidRDefault="00C33788">
      <w:pPr>
        <w:pStyle w:val="Paragraphedeliste"/>
        <w:numPr>
          <w:ilvl w:val="2"/>
          <w:numId w:val="31"/>
        </w:numPr>
        <w:spacing w:before="0" w:after="0"/>
        <w:rPr>
          <w:rFonts w:cs="Calibri"/>
          <w:szCs w:val="22"/>
        </w:rPr>
      </w:pPr>
      <w:r>
        <w:rPr>
          <w:rFonts w:cs="Calibri"/>
          <w:szCs w:val="22"/>
        </w:rPr>
        <w:t xml:space="preserve">Certificat de l'article L. 243-15 du Code de la sécurité sociale, connu sous le nom d'attestation de vigilance </w:t>
      </w:r>
    </w:p>
    <w:p w:rsidR="002C06B7" w:rsidRDefault="00C33788">
      <w:pPr>
        <w:pStyle w:val="Paragraphedeliste"/>
        <w:spacing w:before="0" w:after="0"/>
        <w:rPr>
          <w:rFonts w:cs="Calibri"/>
          <w:szCs w:val="22"/>
        </w:rPr>
      </w:pPr>
      <w:r>
        <w:rPr>
          <w:rFonts w:cs="Calibri"/>
          <w:szCs w:val="22"/>
        </w:rPr>
        <w:t xml:space="preserve">Nb : accessible depuis compte fiscal professionnel sur le site : </w:t>
      </w:r>
      <w:hyperlink r:id="rId19" w:tooltip="https://mon.urssaf.fr/" w:history="1">
        <w:r>
          <w:rPr>
            <w:rStyle w:val="Lienhypertexte"/>
            <w:rFonts w:cs="Calibri"/>
            <w:szCs w:val="22"/>
          </w:rPr>
          <w:t>https://mon.urssaf.fr/</w:t>
        </w:r>
      </w:hyperlink>
      <w:r>
        <w:rPr>
          <w:rFonts w:cs="Calibri"/>
          <w:szCs w:val="22"/>
        </w:rPr>
        <w:t>.</w:t>
      </w:r>
    </w:p>
    <w:p w:rsidR="002C06B7" w:rsidRDefault="002C06B7">
      <w:pPr>
        <w:spacing w:before="0" w:after="0"/>
        <w:rPr>
          <w:rFonts w:cs="Calibri"/>
          <w:szCs w:val="22"/>
          <w:u w:val="single"/>
        </w:rPr>
      </w:pPr>
    </w:p>
    <w:p w:rsidR="002C06B7" w:rsidRDefault="00C33788">
      <w:pPr>
        <w:spacing w:before="0" w:after="0"/>
        <w:rPr>
          <w:rFonts w:cs="Calibri"/>
          <w:szCs w:val="22"/>
        </w:rPr>
      </w:pPr>
      <w:r>
        <w:rPr>
          <w:rFonts w:cs="Calibri"/>
          <w:szCs w:val="22"/>
          <w:u w:val="single"/>
        </w:rPr>
        <w:t>Lorsque le soumissionnaire est établi hors de France</w:t>
      </w:r>
      <w:r>
        <w:rPr>
          <w:rFonts w:cs="Calibri"/>
          <w:szCs w:val="22"/>
        </w:rPr>
        <w:t xml:space="preserve"> :</w:t>
      </w:r>
    </w:p>
    <w:p w:rsidR="002C06B7" w:rsidRDefault="002C06B7">
      <w:pPr>
        <w:spacing w:before="0" w:after="0"/>
        <w:rPr>
          <w:rFonts w:cs="Calibri"/>
          <w:szCs w:val="22"/>
        </w:rPr>
      </w:pPr>
    </w:p>
    <w:p w:rsidR="002C06B7" w:rsidRDefault="00FC4624">
      <w:pPr>
        <w:pStyle w:val="Paragraphedeliste"/>
        <w:numPr>
          <w:ilvl w:val="0"/>
          <w:numId w:val="31"/>
        </w:numPr>
        <w:spacing w:before="0" w:after="0"/>
        <w:rPr>
          <w:rFonts w:cs="Calibri"/>
          <w:szCs w:val="22"/>
        </w:rPr>
      </w:pPr>
      <w:r>
        <w:rPr>
          <w:rFonts w:cs="Calibri"/>
          <w:szCs w:val="22"/>
        </w:rPr>
        <w:t>Un</w:t>
      </w:r>
      <w:r w:rsidR="00C33788">
        <w:rPr>
          <w:rFonts w:cs="Calibri"/>
          <w:szCs w:val="22"/>
        </w:rPr>
        <w:t xml:space="preserve"> document mentionnant son numéro individuel d'identification, attribué en application de l'article 286 ter du Code général des impôts. Si le soumissionnaire n'est pas établi dans un pays de l'Union européenne, un document mentionnant l'identité et l'adresse du candidat ou les coordonnées de son représentant fiscal ponctuel en France;</w:t>
      </w:r>
    </w:p>
    <w:p w:rsidR="002C06B7" w:rsidRDefault="00FC4624">
      <w:pPr>
        <w:pStyle w:val="Paragraphedeliste"/>
        <w:numPr>
          <w:ilvl w:val="0"/>
          <w:numId w:val="31"/>
        </w:numPr>
        <w:spacing w:before="0" w:after="0"/>
        <w:rPr>
          <w:rFonts w:cs="Calibri"/>
          <w:szCs w:val="22"/>
        </w:rPr>
      </w:pPr>
      <w:r>
        <w:rPr>
          <w:rFonts w:cs="Calibri"/>
          <w:szCs w:val="22"/>
        </w:rPr>
        <w:t>U</w:t>
      </w:r>
      <w:r w:rsidR="00C33788">
        <w:rPr>
          <w:rFonts w:cs="Calibri"/>
          <w:szCs w:val="22"/>
        </w:rPr>
        <w:t>n document attestant de la régularité de la situation sociale du cocontractant au regard du règlement (CE) n°883/2004 du 29 avril 2004 ou d'une convention internationale de sécurité sociale et, lorsque la législation du pays de domiciliation le prévoit, un document émanant de l'organisme gérant le régime social obligatoire et mentionnant que le cocontractant est à jour de ses déclarations sociales et du paiement des cotisations afférentes, ou un document équivalent ou, à défaut, une attestation de fourniture des déclarations sociales et de paiement des cotisations et contributions de sécurité sociale prévue à l' article L. 243-15 du Code de la sécurité sociale;</w:t>
      </w:r>
    </w:p>
    <w:p w:rsidR="002C06B7" w:rsidRDefault="00C33788">
      <w:pPr>
        <w:pStyle w:val="Paragraphedeliste"/>
        <w:numPr>
          <w:ilvl w:val="0"/>
          <w:numId w:val="31"/>
        </w:numPr>
        <w:spacing w:before="0" w:after="0"/>
        <w:rPr>
          <w:rFonts w:cs="Calibri"/>
          <w:szCs w:val="22"/>
        </w:rPr>
      </w:pPr>
      <w:r>
        <w:rPr>
          <w:rFonts w:cs="Calibri"/>
          <w:szCs w:val="22"/>
        </w:rPr>
        <w:t xml:space="preserve">Un extrait du registre pertinent au sens de l'article R. 2143-9 du Code de la commande publique, ou un document équivalent délivré par l'autorité judiciaire ou administrative compétente du pays d'origine, attestant de l'absence de cas d'exclusion. Pour les entreprises en cours de création, un document datant de moins </w:t>
      </w:r>
      <w:r>
        <w:rPr>
          <w:rFonts w:cs="Calibri"/>
          <w:szCs w:val="22"/>
        </w:rPr>
        <w:lastRenderedPageBreak/>
        <w:t>de 6 mois émanant de l'autorité habilitée à recevoir l'inscription au registre professionnel et attestant de la demande d'immatriculation audit registre;</w:t>
      </w:r>
    </w:p>
    <w:p w:rsidR="002C06B7" w:rsidRDefault="00C33788">
      <w:pPr>
        <w:pStyle w:val="Paragraphedeliste"/>
        <w:numPr>
          <w:ilvl w:val="0"/>
          <w:numId w:val="31"/>
        </w:numPr>
        <w:spacing w:before="0" w:after="0"/>
        <w:rPr>
          <w:rFonts w:cs="Calibri"/>
          <w:szCs w:val="22"/>
        </w:rPr>
      </w:pPr>
      <w:r>
        <w:rPr>
          <w:rFonts w:cs="Calibri"/>
          <w:szCs w:val="22"/>
        </w:rPr>
        <w:t>Le cas échéant, en cas de recours à des travailleurs détachés, dans les conditions définies à l'article L. 1262-1 du Code du travail :</w:t>
      </w:r>
    </w:p>
    <w:p w:rsidR="002C06B7" w:rsidRDefault="00C33788">
      <w:pPr>
        <w:pStyle w:val="Paragraphedeliste"/>
        <w:numPr>
          <w:ilvl w:val="2"/>
          <w:numId w:val="31"/>
        </w:numPr>
        <w:spacing w:before="0" w:after="0"/>
        <w:rPr>
          <w:rFonts w:cs="Calibri"/>
          <w:szCs w:val="22"/>
        </w:rPr>
      </w:pPr>
      <w:r>
        <w:rPr>
          <w:rFonts w:cs="Calibri"/>
          <w:szCs w:val="22"/>
        </w:rPr>
        <w:t>L'accusé de réception de la déclaration de détachement effectuée sur le télé-service "SIPSI" du ministère chargé du travail, conformément aux articles R. 1263-5 et R. 1263-7 du Code du travail;</w:t>
      </w:r>
    </w:p>
    <w:p w:rsidR="002C06B7" w:rsidRDefault="00C33788">
      <w:pPr>
        <w:pStyle w:val="Paragraphedeliste"/>
        <w:numPr>
          <w:ilvl w:val="2"/>
          <w:numId w:val="31"/>
        </w:numPr>
        <w:spacing w:before="0" w:after="0"/>
        <w:rPr>
          <w:rFonts w:cs="Calibri"/>
          <w:szCs w:val="22"/>
        </w:rPr>
      </w:pPr>
      <w:r>
        <w:rPr>
          <w:rFonts w:cs="Calibri"/>
          <w:szCs w:val="22"/>
        </w:rPr>
        <w:t>Une attestation sur l'honneur certifiant que le cocontractant s'est, le cas échéant, acquitté du paiement des sommes dues au titre des amendes prévues aux articles L. 1263-6, L. 1264-1, L. 12642 et L. 8115-1 du Code du travail. Cette attestation comporte les nom, prénom, raison sociale du cocontractant et la signature de son représentant légal.</w:t>
      </w:r>
    </w:p>
    <w:p w:rsidR="002C06B7" w:rsidRDefault="00C33788">
      <w:pPr>
        <w:pStyle w:val="Paragraphedeliste"/>
        <w:numPr>
          <w:ilvl w:val="2"/>
          <w:numId w:val="31"/>
        </w:numPr>
        <w:spacing w:before="0" w:after="0"/>
        <w:rPr>
          <w:rFonts w:cs="Calibri"/>
          <w:szCs w:val="22"/>
        </w:rPr>
      </w:pPr>
      <w:r>
        <w:rPr>
          <w:rFonts w:cs="Calibri"/>
          <w:szCs w:val="22"/>
        </w:rPr>
        <w:t>Lorsque les autorités compétentes du pays d'origine ou d'établissement du soumissionnaire ne délivrent pas les moyens de preuve ou si les documents délivrés ne mentionnent pas tous les cas d'interdiction de soumissionner, le soumissionnaire peut fournir une déclaration sous serment, ou dans les pays où une telle procédure n'existe pas, par une déclaration solennelle faite par l'intéressé devant une autorité judiciaire ou administrative, un notaire ou un organisme professionnel qualifié de pays d'origine ou d'établissement</w:t>
      </w:r>
    </w:p>
    <w:p w:rsidR="002C06B7" w:rsidRDefault="002C06B7">
      <w:pPr>
        <w:spacing w:before="0" w:after="0"/>
        <w:rPr>
          <w:rFonts w:cs="Calibri"/>
          <w:szCs w:val="22"/>
        </w:rPr>
      </w:pPr>
    </w:p>
    <w:p w:rsidR="002C06B7" w:rsidRDefault="00C33788">
      <w:pPr>
        <w:spacing w:before="0" w:after="0"/>
        <w:rPr>
          <w:rFonts w:cs="Calibri"/>
          <w:szCs w:val="22"/>
        </w:rPr>
      </w:pPr>
      <w:r>
        <w:rPr>
          <w:rFonts w:cs="Calibri"/>
          <w:szCs w:val="22"/>
        </w:rPr>
        <w:t>Les pièces et attestations mentionnées dans cet article ne pouvant être rapatriées automatiquement sont à déposer sur</w:t>
      </w:r>
      <w:r>
        <w:rPr>
          <w:rFonts w:ascii="Calibri" w:hAnsi="Calibri" w:cs="Calibri"/>
          <w:szCs w:val="22"/>
        </w:rPr>
        <w:t> </w:t>
      </w:r>
      <w:r>
        <w:rPr>
          <w:rFonts w:cs="Calibri"/>
          <w:szCs w:val="22"/>
        </w:rPr>
        <w:t xml:space="preserve">: </w:t>
      </w:r>
      <w:hyperlink r:id="rId20" w:tooltip="https://www.e-attestations.com" w:history="1">
        <w:r>
          <w:rPr>
            <w:rStyle w:val="Lienhypertexte"/>
            <w:rFonts w:cs="Calibri"/>
            <w:szCs w:val="22"/>
          </w:rPr>
          <w:t>https://www.e-attestations.com</w:t>
        </w:r>
      </w:hyperlink>
      <w:r>
        <w:rPr>
          <w:rFonts w:cs="Calibri"/>
          <w:szCs w:val="22"/>
        </w:rPr>
        <w:t xml:space="preserve"> </w:t>
      </w:r>
    </w:p>
    <w:p w:rsidR="002C06B7" w:rsidRDefault="002C06B7">
      <w:pPr>
        <w:spacing w:before="0" w:after="0"/>
        <w:rPr>
          <w:rFonts w:cs="Calibri"/>
          <w:szCs w:val="22"/>
        </w:rPr>
      </w:pPr>
    </w:p>
    <w:p w:rsidR="002C06B7" w:rsidRDefault="00C33788">
      <w:pPr>
        <w:spacing w:before="0" w:after="0"/>
        <w:rPr>
          <w:rFonts w:cs="Calibri"/>
          <w:szCs w:val="22"/>
        </w:rPr>
      </w:pPr>
      <w:r>
        <w:rPr>
          <w:rFonts w:cs="Calibri"/>
          <w:szCs w:val="22"/>
        </w:rPr>
        <w:t>En vertu de l’article R. 2143-13 du Code de la commande publique, le soumissionnaire auquel il est envisagé d'attribuer le marché n’est pas tenu de fournir les documents justificatifs et moyens de preuve que l'acheteur peut obtenir directement par le biais :</w:t>
      </w:r>
    </w:p>
    <w:p w:rsidR="002C06B7" w:rsidRDefault="00FC4624">
      <w:pPr>
        <w:pStyle w:val="Paragraphedeliste"/>
        <w:numPr>
          <w:ilvl w:val="0"/>
          <w:numId w:val="45"/>
        </w:numPr>
        <w:spacing w:before="0" w:after="0"/>
        <w:rPr>
          <w:rFonts w:cs="Calibri"/>
          <w:szCs w:val="22"/>
        </w:rPr>
      </w:pPr>
      <w:r>
        <w:rPr>
          <w:rFonts w:cs="Calibri"/>
          <w:szCs w:val="22"/>
        </w:rPr>
        <w:t>D’un</w:t>
      </w:r>
      <w:r w:rsidR="00C33788">
        <w:rPr>
          <w:rFonts w:cs="Calibri"/>
          <w:szCs w:val="22"/>
        </w:rPr>
        <w:t xml:space="preserve"> système électronique de mise à disposition d'informations administré par un organisme officiel à condition que l'accès à celui-ci soit gratuit et, le cas échéant, que figurent dans le dossier de candidature toutes les informations nécessaires à sa consultation ;</w:t>
      </w:r>
    </w:p>
    <w:p w:rsidR="002C06B7" w:rsidRDefault="00FC4624">
      <w:pPr>
        <w:pStyle w:val="Paragraphedeliste"/>
        <w:numPr>
          <w:ilvl w:val="0"/>
          <w:numId w:val="45"/>
        </w:numPr>
        <w:spacing w:before="0" w:after="0"/>
        <w:rPr>
          <w:rFonts w:cs="Calibri"/>
          <w:szCs w:val="22"/>
        </w:rPr>
      </w:pPr>
      <w:r>
        <w:rPr>
          <w:rFonts w:cs="Calibri"/>
          <w:szCs w:val="22"/>
        </w:rPr>
        <w:t>D’un</w:t>
      </w:r>
      <w:r w:rsidR="00C33788">
        <w:rPr>
          <w:rFonts w:cs="Calibri"/>
          <w:szCs w:val="22"/>
        </w:rPr>
        <w:t xml:space="preserve"> espace de stockage numérique, à condition que figurent dans le dossier de candidature toutes les informations nécessaires à sa consultation et que l'accès à ceux-ci soit gratuit.</w:t>
      </w:r>
    </w:p>
    <w:p w:rsidR="002C06B7" w:rsidRDefault="002C06B7">
      <w:pPr>
        <w:pStyle w:val="Paragraphedeliste"/>
        <w:spacing w:before="0" w:after="0"/>
        <w:ind w:left="0"/>
        <w:rPr>
          <w:rFonts w:cs="Calibri"/>
          <w:szCs w:val="22"/>
        </w:rPr>
      </w:pPr>
    </w:p>
    <w:p w:rsidR="002C06B7" w:rsidRDefault="00C33788">
      <w:pPr>
        <w:spacing w:before="0" w:after="0"/>
        <w:rPr>
          <w:rFonts w:cs="Calibri"/>
          <w:szCs w:val="22"/>
        </w:rPr>
      </w:pPr>
      <w:r>
        <w:rPr>
          <w:rFonts w:cs="Calibri"/>
          <w:szCs w:val="22"/>
        </w:rPr>
        <w:t>En outre, conformément à l'article R. 2143-14 du Code de la commande publique, les opérateurs économiques ne sont pas tenus de fournir les documents justificatifs et moyens de preuve qu’ils ont déjà transmis au pouvoir adjudicateur dans le cadre d'une précédente consultation et qui demeurent valables. Dans ce cas, le candidat indique, dans sa candidature, les documents concernés ainsi que la référence de la ou des consultation(s) pour la ou lesquelles les documents ont déjà été transmis.</w:t>
      </w:r>
    </w:p>
    <w:p w:rsidR="002C06B7" w:rsidRDefault="002C06B7">
      <w:pPr>
        <w:spacing w:before="0" w:after="0"/>
        <w:rPr>
          <w:rFonts w:cs="Calibri"/>
          <w:szCs w:val="22"/>
        </w:rPr>
      </w:pPr>
    </w:p>
    <w:p w:rsidR="002C06B7" w:rsidRDefault="00C33788">
      <w:pPr>
        <w:spacing w:before="0" w:after="0"/>
        <w:rPr>
          <w:rFonts w:cs="Calibri"/>
          <w:b/>
          <w:szCs w:val="22"/>
          <w:u w:val="single"/>
        </w:rPr>
      </w:pPr>
      <w:r>
        <w:rPr>
          <w:rFonts w:cs="Calibri"/>
          <w:szCs w:val="22"/>
        </w:rPr>
        <w:t xml:space="preserve">Toutefois, si le candidat retenu ne peut produire, suite à une demande écrite du représentant du pouvoir adjudicateur et ce, dans le délai fixé par le courrier, les pièces manquantes, </w:t>
      </w:r>
      <w:r>
        <w:rPr>
          <w:rFonts w:cs="Calibri"/>
          <w:b/>
          <w:szCs w:val="22"/>
          <w:u w:val="single"/>
        </w:rPr>
        <w:t>son offre est rejetée.</w:t>
      </w:r>
    </w:p>
    <w:p w:rsidR="002C06B7" w:rsidRDefault="002C06B7">
      <w:pPr>
        <w:spacing w:before="0" w:after="0"/>
        <w:rPr>
          <w:rFonts w:cs="Calibri"/>
          <w:b/>
          <w:szCs w:val="22"/>
          <w:u w:val="single"/>
        </w:rPr>
      </w:pPr>
    </w:p>
    <w:p w:rsidR="002C06B7" w:rsidRDefault="00C33788">
      <w:pPr>
        <w:spacing w:before="0" w:after="0"/>
        <w:rPr>
          <w:rFonts w:cs="Calibri"/>
          <w:szCs w:val="22"/>
        </w:rPr>
      </w:pPr>
      <w:r>
        <w:rPr>
          <w:rFonts w:cs="Calibri"/>
          <w:szCs w:val="22"/>
        </w:rPr>
        <w:lastRenderedPageBreak/>
        <w:t>Une demande identique sera alors adressée dans les mêmes conditions à la société suivante dans le classement des offres.</w:t>
      </w:r>
    </w:p>
    <w:p w:rsidR="002C06B7" w:rsidRDefault="002C06B7">
      <w:pPr>
        <w:spacing w:before="0" w:after="0"/>
        <w:rPr>
          <w:rFonts w:cs="Calibri"/>
          <w:szCs w:val="22"/>
          <w:u w:val="single"/>
        </w:rPr>
      </w:pPr>
    </w:p>
    <w:p w:rsidR="002C06B7" w:rsidRDefault="00C33788">
      <w:pPr>
        <w:pStyle w:val="Titre3"/>
        <w:rPr>
          <w:rFonts w:ascii="Marianne" w:hAnsi="Marianne"/>
        </w:rPr>
      </w:pPr>
      <w:bookmarkStart w:id="135" w:name="_Toc198742653"/>
      <w:bookmarkStart w:id="136" w:name="_Toc202861587"/>
      <w:r>
        <w:rPr>
          <w:rFonts w:ascii="Marianne" w:hAnsi="Marianne"/>
        </w:rPr>
        <w:t>Vérification des motifs d’exclusion et contradictoire</w:t>
      </w:r>
      <w:bookmarkEnd w:id="135"/>
      <w:bookmarkEnd w:id="136"/>
    </w:p>
    <w:p w:rsidR="002C06B7" w:rsidRDefault="00C33788">
      <w:pPr>
        <w:spacing w:before="0" w:after="0"/>
        <w:rPr>
          <w:rFonts w:cs="Calibri"/>
          <w:szCs w:val="22"/>
        </w:rPr>
      </w:pPr>
      <w:r>
        <w:rPr>
          <w:rFonts w:cs="Calibri"/>
          <w:szCs w:val="22"/>
        </w:rPr>
        <w:t>Le présent marché public ne peut être attribués à des opérateurs économiques ayant fait l’objet des mesures d’exclusion définies aux articles L. 2141-1 à L. 2141-6 et L. 2141-7 à L. 2141- 10 du Code de la commande publique relatifs aux exclusions de plein droit et aux exclusions à l'appréciation de l'acheteur.</w:t>
      </w:r>
    </w:p>
    <w:p w:rsidR="002C06B7" w:rsidRDefault="002C06B7">
      <w:pPr>
        <w:spacing w:before="0" w:after="0"/>
        <w:rPr>
          <w:rFonts w:cs="Calibri"/>
          <w:szCs w:val="22"/>
        </w:rPr>
      </w:pPr>
    </w:p>
    <w:p w:rsidR="002C06B7" w:rsidRDefault="00C33788">
      <w:pPr>
        <w:spacing w:before="0" w:after="0"/>
        <w:rPr>
          <w:rFonts w:cs="Calibri"/>
          <w:szCs w:val="22"/>
        </w:rPr>
      </w:pPr>
      <w:r>
        <w:rPr>
          <w:rFonts w:cs="Calibri"/>
          <w:szCs w:val="22"/>
        </w:rPr>
        <w:t>Conformément aux articles L. 2141-6-1 et L. 2141-11 du Code de la commande publique, le candidat qui se trouve dans l’un des cas d’exclusion mentionnés aux articles L. 2141-1, L. 2141-4 et L. 2141-5 et L. 2141-7 à L.2141-10 du même code peut fournir des preuves qu’elle a pris des mesures de nature à démontrer sa fiabilité, notamment en établissant qu’elle a, le cas échéant, entrepris de verser une indemnité en réparation du préjudice causé par l’infraction pénale ou la faute, qu’elle a clarifié totalement les faits ou les circonstances en collaborant activement avec les autorités chargées de l’enquête et qu’elle a pris des mesures concrètes propres à régulariser sa situation, à prévenir une nouvelle infraction pénale ou une nouvelle faute et, le cas échéant, que sa participation à la procédure de passation du marché n’est pas susceptible de porter atteinte à l’égalité de traitement des candidats.</w:t>
      </w:r>
    </w:p>
    <w:p w:rsidR="002C06B7" w:rsidRDefault="002C06B7">
      <w:pPr>
        <w:spacing w:before="0" w:after="0"/>
        <w:rPr>
          <w:rFonts w:cs="Calibri"/>
          <w:szCs w:val="22"/>
        </w:rPr>
      </w:pPr>
    </w:p>
    <w:p w:rsidR="002C06B7" w:rsidRDefault="00C33788">
      <w:pPr>
        <w:spacing w:before="0" w:after="0"/>
        <w:rPr>
          <w:rFonts w:cs="Calibri"/>
          <w:szCs w:val="22"/>
        </w:rPr>
      </w:pPr>
      <w:r>
        <w:rPr>
          <w:rFonts w:cs="Calibri"/>
          <w:szCs w:val="22"/>
        </w:rPr>
        <w:t>Ces mesures sont évaluées en tenant compte de la gravité et des circonstances particulières de l’infraction pénale ou de la faute.</w:t>
      </w:r>
    </w:p>
    <w:p w:rsidR="002C06B7" w:rsidRDefault="002C06B7">
      <w:pPr>
        <w:spacing w:before="0" w:after="0"/>
        <w:rPr>
          <w:rFonts w:cs="Calibri"/>
          <w:szCs w:val="22"/>
        </w:rPr>
      </w:pPr>
    </w:p>
    <w:p w:rsidR="002C06B7" w:rsidRDefault="00C33788">
      <w:pPr>
        <w:spacing w:before="0" w:after="0"/>
        <w:rPr>
          <w:rFonts w:cs="Calibri"/>
          <w:szCs w:val="22"/>
        </w:rPr>
      </w:pPr>
      <w:r>
        <w:rPr>
          <w:rFonts w:cs="Calibri"/>
          <w:szCs w:val="22"/>
        </w:rPr>
        <w:t>Si l’acheteur estime que ces preuves sont suffisantes, la personne concernée n’est pas exclue de la procédure de passation de marché.</w:t>
      </w:r>
    </w:p>
    <w:p w:rsidR="002C06B7" w:rsidRDefault="002C06B7">
      <w:pPr>
        <w:spacing w:before="0" w:after="0"/>
        <w:rPr>
          <w:rFonts w:cs="Calibri"/>
          <w:szCs w:val="22"/>
        </w:rPr>
      </w:pPr>
    </w:p>
    <w:p w:rsidR="002C06B7" w:rsidRDefault="00C33788">
      <w:pPr>
        <w:spacing w:before="0" w:after="0"/>
        <w:rPr>
          <w:rFonts w:cs="Calibri"/>
          <w:szCs w:val="22"/>
        </w:rPr>
      </w:pPr>
      <w:r>
        <w:rPr>
          <w:rFonts w:cs="Calibri"/>
          <w:szCs w:val="22"/>
        </w:rPr>
        <w:t>Une personne qui fait l’objet d’une peine d’exclusion des marchés publics au titre des articles 131-34 ou 131-39 du Code pénal ne peut se prévaloir de ce contradictoire pendant la période d’exclusion fixée par la décision de justice définitive.</w:t>
      </w:r>
    </w:p>
    <w:p w:rsidR="002C06B7" w:rsidRDefault="002C06B7">
      <w:pPr>
        <w:spacing w:before="0" w:after="0"/>
        <w:rPr>
          <w:rFonts w:cs="Calibri"/>
          <w:szCs w:val="22"/>
        </w:rPr>
      </w:pPr>
    </w:p>
    <w:p w:rsidR="002C06B7" w:rsidRDefault="00C33788">
      <w:pPr>
        <w:spacing w:before="0" w:after="0"/>
        <w:rPr>
          <w:rFonts w:cs="Calibri"/>
          <w:szCs w:val="22"/>
        </w:rPr>
      </w:pPr>
      <w:r>
        <w:rPr>
          <w:rFonts w:cs="Calibri"/>
          <w:szCs w:val="22"/>
        </w:rPr>
        <w:t xml:space="preserve">Le présent marché public ne peut également être attribué à des opérateurs économiques relevant des dispositions de l’article 5 </w:t>
      </w:r>
      <w:proofErr w:type="spellStart"/>
      <w:r>
        <w:rPr>
          <w:rFonts w:cs="Calibri"/>
          <w:szCs w:val="22"/>
        </w:rPr>
        <w:t>duodecies</w:t>
      </w:r>
      <w:proofErr w:type="spellEnd"/>
      <w:r>
        <w:rPr>
          <w:rFonts w:cs="Calibri"/>
          <w:szCs w:val="22"/>
        </w:rPr>
        <w:t xml:space="preserve"> du règlement (UE) no 833/2014 concernant des mesures restrictives eu égard aux actions de la Russie déstabilisant la situation en Ukraine modifié par l’article 1er du règlement UE 2022/576.</w:t>
      </w:r>
    </w:p>
    <w:p w:rsidR="002C06B7" w:rsidRDefault="00C33788">
      <w:pPr>
        <w:pStyle w:val="Titre3"/>
        <w:rPr>
          <w:rFonts w:ascii="Marianne" w:hAnsi="Marianne"/>
        </w:rPr>
      </w:pPr>
      <w:bookmarkStart w:id="137" w:name="_Toc198742654"/>
      <w:bookmarkStart w:id="138" w:name="_Toc202861588"/>
      <w:r>
        <w:rPr>
          <w:rFonts w:ascii="Marianne" w:hAnsi="Marianne"/>
        </w:rPr>
        <w:t>Mise au point des composantes de l’accord-cadre</w:t>
      </w:r>
      <w:bookmarkEnd w:id="137"/>
      <w:bookmarkEnd w:id="138"/>
    </w:p>
    <w:p w:rsidR="002C06B7" w:rsidRDefault="00C33788">
      <w:pPr>
        <w:rPr>
          <w:szCs w:val="22"/>
        </w:rPr>
      </w:pPr>
      <w:r>
        <w:rPr>
          <w:szCs w:val="22"/>
        </w:rPr>
        <w:t>Conformément à l'article R. 2152-13 du Code de la commande publique</w:t>
      </w:r>
      <w:r>
        <w:rPr>
          <w:szCs w:val="22"/>
          <w:lang w:eastAsia="en-US"/>
        </w:rPr>
        <w:t xml:space="preserve">, </w:t>
      </w:r>
      <w:r>
        <w:rPr>
          <w:szCs w:val="22"/>
        </w:rPr>
        <w:t>le pouvoir adjudicateur peut, en accord avec le candidat retenu, procéder à une mise au point des composantes de l’accord-cadre avant sa signature sans que cette mise au point puisse avoir pour effet de modifier des caractéristiques substantielles de l'offre ou de l’accord-cadre.</w:t>
      </w:r>
    </w:p>
    <w:p w:rsidR="002C06B7" w:rsidRDefault="00C33788">
      <w:pPr>
        <w:pStyle w:val="Titre3"/>
        <w:rPr>
          <w:rFonts w:ascii="Marianne" w:hAnsi="Marianne"/>
        </w:rPr>
      </w:pPr>
      <w:bookmarkStart w:id="139" w:name="_Toc198742655"/>
      <w:bookmarkStart w:id="140" w:name="_Toc202861589"/>
      <w:r>
        <w:rPr>
          <w:rFonts w:ascii="Marianne" w:hAnsi="Marianne"/>
        </w:rPr>
        <w:t>Candidatures et offres non retenues</w:t>
      </w:r>
      <w:bookmarkEnd w:id="139"/>
      <w:bookmarkEnd w:id="140"/>
    </w:p>
    <w:p w:rsidR="002C06B7" w:rsidRDefault="00C33788">
      <w:pPr>
        <w:rPr>
          <w:szCs w:val="22"/>
        </w:rPr>
      </w:pPr>
      <w:r>
        <w:rPr>
          <w:szCs w:val="22"/>
        </w:rPr>
        <w:t xml:space="preserve">Dès qu'il a fait son choix, le pouvoir adjudicateur notifie à tous les autres candidats le rejet de leur candidature ou de leur offre, en leur indiquant les motifs de ce rejet. </w:t>
      </w:r>
    </w:p>
    <w:p w:rsidR="002C06B7" w:rsidRDefault="00C33788">
      <w:pPr>
        <w:rPr>
          <w:szCs w:val="22"/>
        </w:rPr>
      </w:pPr>
      <w:r>
        <w:rPr>
          <w:szCs w:val="22"/>
        </w:rPr>
        <w:t xml:space="preserve">Cette notification précise le nom de l'attributaire et les motifs qui ont conduit au choix de son offre. Cette notification est faite aux candidats ayant soumis une offre et à ceux n'ayant </w:t>
      </w:r>
      <w:r>
        <w:rPr>
          <w:szCs w:val="22"/>
        </w:rPr>
        <w:lastRenderedPageBreak/>
        <w:t>pas encore eu communication du rejet de leur candidature. Cette notification de rejet se fait via la PLACE.</w:t>
      </w:r>
    </w:p>
    <w:p w:rsidR="002C06B7" w:rsidRDefault="00C33788">
      <w:pPr>
        <w:rPr>
          <w:szCs w:val="22"/>
        </w:rPr>
      </w:pPr>
      <w:r>
        <w:rPr>
          <w:szCs w:val="22"/>
        </w:rPr>
        <w:t>Les offres des candidats non retenus sont archivées par le pouvoir adjudicateur pendant une durée de cinq (5) ans.</w:t>
      </w:r>
    </w:p>
    <w:p w:rsidR="002C06B7" w:rsidRDefault="00C33788">
      <w:pPr>
        <w:rPr>
          <w:szCs w:val="22"/>
        </w:rPr>
      </w:pPr>
      <w:r>
        <w:rPr>
          <w:szCs w:val="22"/>
        </w:rPr>
        <w:t>Conformément aux dispositions de l’article R. 2183-1 du Code de la commande publique, le pouvoir adjudicateur envoie pour publication, dans un délai maximal de trente (30) jours à compter de la signature de l’accord-cadre un avis d'attribution au BOAMP et au JOUE.</w:t>
      </w:r>
    </w:p>
    <w:p w:rsidR="002C06B7" w:rsidRDefault="00C33788">
      <w:pPr>
        <w:pStyle w:val="Titre3"/>
        <w:rPr>
          <w:rFonts w:ascii="Marianne" w:hAnsi="Marianne"/>
        </w:rPr>
      </w:pPr>
      <w:bookmarkStart w:id="141" w:name="_Toc198742656"/>
      <w:bookmarkStart w:id="142" w:name="_Toc202861590"/>
      <w:r>
        <w:rPr>
          <w:rFonts w:ascii="Marianne" w:hAnsi="Marianne"/>
        </w:rPr>
        <w:t>Notification de l’accord-cadre</w:t>
      </w:r>
      <w:bookmarkEnd w:id="141"/>
      <w:bookmarkEnd w:id="142"/>
    </w:p>
    <w:p w:rsidR="002C06B7" w:rsidRDefault="00C33788">
      <w:pPr>
        <w:rPr>
          <w:szCs w:val="22"/>
        </w:rPr>
      </w:pPr>
      <w:r>
        <w:rPr>
          <w:szCs w:val="22"/>
        </w:rPr>
        <w:t>La décision d’attribution n’emporte pas notification de l’accord-cadre.</w:t>
      </w:r>
    </w:p>
    <w:p w:rsidR="002C06B7" w:rsidRDefault="00C33788">
      <w:pPr>
        <w:rPr>
          <w:szCs w:val="22"/>
        </w:rPr>
      </w:pPr>
      <w:r>
        <w:rPr>
          <w:szCs w:val="22"/>
        </w:rPr>
        <w:t xml:space="preserve">L’accord-cadre est notifié avant tout commencement d'exécution. La date de notification correspond à la date d’effet de l’accord-cadre. </w:t>
      </w:r>
    </w:p>
    <w:p w:rsidR="002C06B7" w:rsidRDefault="00C33788">
      <w:pPr>
        <w:rPr>
          <w:szCs w:val="22"/>
        </w:rPr>
      </w:pPr>
      <w:r>
        <w:rPr>
          <w:szCs w:val="22"/>
        </w:rPr>
        <w:t>La notification se déroule via la PLACE.</w:t>
      </w:r>
    </w:p>
    <w:p w:rsidR="002C06B7" w:rsidRDefault="00C33788">
      <w:pPr>
        <w:pStyle w:val="Titre3"/>
        <w:rPr>
          <w:rFonts w:ascii="Marianne" w:hAnsi="Marianne"/>
        </w:rPr>
      </w:pPr>
      <w:bookmarkStart w:id="143" w:name="_Toc198742657"/>
      <w:bookmarkStart w:id="144" w:name="_Toc202861591"/>
      <w:r>
        <w:rPr>
          <w:rFonts w:ascii="Marianne" w:hAnsi="Marianne"/>
        </w:rPr>
        <w:t>Abandon de la procédure</w:t>
      </w:r>
      <w:bookmarkEnd w:id="143"/>
      <w:bookmarkEnd w:id="144"/>
    </w:p>
    <w:p w:rsidR="002C06B7" w:rsidRDefault="00C33788">
      <w:pPr>
        <w:rPr>
          <w:szCs w:val="22"/>
        </w:rPr>
      </w:pPr>
      <w:bookmarkStart w:id="145" w:name="_Toc24541172"/>
      <w:bookmarkStart w:id="146" w:name="_Toc24950296"/>
      <w:bookmarkStart w:id="147" w:name="_Toc25563937"/>
      <w:bookmarkStart w:id="148" w:name="_Toc38774311"/>
      <w:r>
        <w:rPr>
          <w:szCs w:val="22"/>
          <w:lang w:eastAsia="en-US"/>
        </w:rPr>
        <w:t xml:space="preserve">Conformément à l’article R. 2185-1 du code de la commande publique, </w:t>
      </w:r>
      <w:r>
        <w:rPr>
          <w:szCs w:val="22"/>
        </w:rPr>
        <w:t>le représentant du pouvoir adjudicateur peut,</w:t>
      </w:r>
      <w:r>
        <w:rPr>
          <w:szCs w:val="22"/>
          <w:lang w:eastAsia="en-US"/>
        </w:rPr>
        <w:t xml:space="preserve"> à tout moment, déclarer la procédure sans suite.</w:t>
      </w:r>
    </w:p>
    <w:p w:rsidR="002C06B7" w:rsidRDefault="00C33788">
      <w:pPr>
        <w:rPr>
          <w:szCs w:val="22"/>
        </w:rPr>
      </w:pPr>
      <w:r>
        <w:rPr>
          <w:szCs w:val="22"/>
        </w:rPr>
        <w:t>Dans ce cas, le représentant du pouvoir adjudicateur communique dans les plus brefs délais les motifs de sa décision de ne pas attribuer l’accord-cadre ou de recommencer la procédure aux opérateurs économiques y ayant participé.</w:t>
      </w:r>
    </w:p>
    <w:p w:rsidR="002C06B7" w:rsidRDefault="00C33788">
      <w:pPr>
        <w:pStyle w:val="Titre2"/>
      </w:pPr>
      <w:bookmarkStart w:id="149" w:name="_Toc198742658"/>
      <w:bookmarkStart w:id="150" w:name="_Toc202861592"/>
      <w:r>
        <w:t>Différend et contentieux</w:t>
      </w:r>
      <w:bookmarkEnd w:id="149"/>
      <w:bookmarkEnd w:id="150"/>
    </w:p>
    <w:p w:rsidR="002C06B7" w:rsidRDefault="00C33788">
      <w:pPr>
        <w:pStyle w:val="Titre3"/>
        <w:rPr>
          <w:rFonts w:ascii="Marianne" w:hAnsi="Marianne"/>
        </w:rPr>
      </w:pPr>
      <w:bookmarkStart w:id="151" w:name="_Toc148369018"/>
      <w:bookmarkStart w:id="152" w:name="_Toc152079368"/>
      <w:bookmarkStart w:id="153" w:name="_Toc170472157"/>
      <w:bookmarkStart w:id="154" w:name="_Toc198742659"/>
      <w:bookmarkStart w:id="155" w:name="_Toc202861593"/>
      <w:r>
        <w:rPr>
          <w:rFonts w:ascii="Marianne" w:hAnsi="Marianne"/>
        </w:rPr>
        <w:t>Médiation</w:t>
      </w:r>
      <w:bookmarkEnd w:id="151"/>
      <w:bookmarkEnd w:id="152"/>
      <w:bookmarkEnd w:id="153"/>
      <w:bookmarkEnd w:id="154"/>
      <w:bookmarkEnd w:id="155"/>
    </w:p>
    <w:p w:rsidR="002C06B7" w:rsidRDefault="00C33788">
      <w:r>
        <w:t>Le présent règlement de consultation est exécuté de bonne foi par les parties qui s’engagent à examiner ensemble, dans le plus grand esprit de concertation, tout différend qui pourrait survenir et relatif à son existence, son interprétation ou à son exécution.</w:t>
      </w:r>
    </w:p>
    <w:p w:rsidR="002C06B7" w:rsidRDefault="00C33788">
      <w:r>
        <w:t>En cas d’échec des négociations directes alors engagées entre les parties, et avant toute saisine de la juridiction compétente, celles-ci ont la possibilité de saisir le médiateur interne « Relations fo</w:t>
      </w:r>
      <w:r w:rsidR="004A2EA1">
        <w:t>urnisseurs » du Ministère de l’I</w:t>
      </w:r>
      <w:r>
        <w:t>ntérieur à l’adresse suivante :</w:t>
      </w:r>
    </w:p>
    <w:p w:rsidR="002C06B7" w:rsidRDefault="00C33788">
      <w:r>
        <w:t>mediateur-fournisseur@interieur.gouv.fr ou par courrier recommandé avec avis de réception à M. le Médiateur interne « Relations fournisseurs » du Ministère</w:t>
      </w:r>
      <w:r w:rsidR="0020290D">
        <w:t xml:space="preserve"> de l’Intérieur</w:t>
      </w:r>
      <w:r>
        <w:t>, Place Beauvau, 75800 Paris Cedex 08.</w:t>
      </w:r>
    </w:p>
    <w:p w:rsidR="002C06B7" w:rsidRDefault="00C33788">
      <w:r>
        <w:t>Dans l’hypothèse où, à l’issue d’un délai de 3 (trois) mois, le différend n’aurait pas trouvé de solution acceptable pour les deux parties, il appartiendra à la plus diligente d’entre elles, si elle s’y croit fondée, de saisir la juridiction compétente du litige en cause.</w:t>
      </w:r>
    </w:p>
    <w:p w:rsidR="002C06B7" w:rsidRDefault="00C33788">
      <w:r>
        <w:t xml:space="preserve">Les échanges intervenus entre les parties en application de la présente clause de médiation doivent rester confidentiels. </w:t>
      </w:r>
    </w:p>
    <w:p w:rsidR="002C06B7" w:rsidRDefault="00C33788">
      <w:pPr>
        <w:pStyle w:val="Titre3"/>
        <w:rPr>
          <w:rFonts w:ascii="Marianne" w:hAnsi="Marianne"/>
        </w:rPr>
      </w:pPr>
      <w:bookmarkStart w:id="156" w:name="_Toc198742660"/>
      <w:bookmarkStart w:id="157" w:name="_Toc202861594"/>
      <w:r>
        <w:rPr>
          <w:rFonts w:ascii="Marianne" w:hAnsi="Marianne"/>
        </w:rPr>
        <w:t>Litige</w:t>
      </w:r>
      <w:bookmarkEnd w:id="156"/>
      <w:bookmarkEnd w:id="157"/>
    </w:p>
    <w:p w:rsidR="002C06B7" w:rsidRDefault="00C33788">
      <w:pPr>
        <w:spacing w:before="0" w:after="0"/>
        <w:rPr>
          <w:rFonts w:cs="Calibri"/>
          <w:szCs w:val="20"/>
        </w:rPr>
      </w:pPr>
      <w:r>
        <w:rPr>
          <w:rFonts w:cs="Calibri"/>
          <w:szCs w:val="20"/>
        </w:rPr>
        <w:t>En cas de litige, le droit français est seul applicable et les tribunaux français sont seuls compétents.</w:t>
      </w:r>
    </w:p>
    <w:p w:rsidR="002C06B7" w:rsidRDefault="002C06B7">
      <w:pPr>
        <w:pStyle w:val="Paragraphedeliste"/>
        <w:spacing w:before="0" w:after="0"/>
        <w:ind w:left="0"/>
        <w:rPr>
          <w:rFonts w:cs="Calibri"/>
          <w:b/>
          <w:szCs w:val="20"/>
        </w:rPr>
      </w:pPr>
    </w:p>
    <w:p w:rsidR="002C06B7" w:rsidRDefault="00C33788">
      <w:pPr>
        <w:pStyle w:val="Paragraphedeliste"/>
        <w:spacing w:before="0" w:after="0"/>
        <w:ind w:left="0"/>
        <w:rPr>
          <w:rFonts w:cs="Calibri"/>
          <w:b/>
          <w:szCs w:val="20"/>
        </w:rPr>
      </w:pPr>
      <w:r>
        <w:rPr>
          <w:rFonts w:cs="Calibri"/>
          <w:b/>
          <w:szCs w:val="20"/>
        </w:rPr>
        <w:lastRenderedPageBreak/>
        <w:t xml:space="preserve">Instance chargée des procédures de recours – Service auprès duquel des renseignements peuvent être obtenus concernant l’introduction des recours : </w:t>
      </w:r>
    </w:p>
    <w:p w:rsidR="002C06B7" w:rsidRDefault="002C06B7">
      <w:pPr>
        <w:spacing w:before="0" w:after="0"/>
        <w:rPr>
          <w:rFonts w:cs="Calibri"/>
          <w:szCs w:val="20"/>
        </w:rPr>
      </w:pPr>
    </w:p>
    <w:p w:rsidR="002C06B7" w:rsidRDefault="00C33788">
      <w:pPr>
        <w:spacing w:before="0" w:after="0"/>
        <w:rPr>
          <w:rFonts w:cs="Calibri"/>
          <w:szCs w:val="20"/>
        </w:rPr>
      </w:pPr>
      <w:r>
        <w:rPr>
          <w:rFonts w:cs="Calibri"/>
          <w:szCs w:val="20"/>
        </w:rPr>
        <w:t>L’instance chargée des procédures de recours est la suivante :</w:t>
      </w:r>
    </w:p>
    <w:p w:rsidR="002C06B7" w:rsidRDefault="002C06B7">
      <w:pPr>
        <w:spacing w:before="0" w:after="0"/>
        <w:rPr>
          <w:rFonts w:cs="Calibri"/>
          <w:szCs w:val="20"/>
        </w:rPr>
      </w:pPr>
    </w:p>
    <w:p w:rsidR="002C06B7" w:rsidRDefault="00C33788">
      <w:pPr>
        <w:spacing w:before="0" w:after="0"/>
        <w:ind w:left="708"/>
        <w:jc w:val="center"/>
        <w:rPr>
          <w:rFonts w:cs="Calibri"/>
          <w:b/>
          <w:szCs w:val="20"/>
        </w:rPr>
      </w:pPr>
      <w:r>
        <w:rPr>
          <w:rFonts w:cs="Calibri"/>
          <w:b/>
          <w:szCs w:val="20"/>
        </w:rPr>
        <w:t>Tribunal Administratif de Paris</w:t>
      </w:r>
    </w:p>
    <w:p w:rsidR="002C06B7" w:rsidRDefault="00C33788">
      <w:pPr>
        <w:spacing w:before="0" w:after="0"/>
        <w:ind w:left="708"/>
        <w:jc w:val="center"/>
        <w:rPr>
          <w:rFonts w:cs="Calibri"/>
          <w:b/>
          <w:szCs w:val="20"/>
        </w:rPr>
      </w:pPr>
      <w:r>
        <w:rPr>
          <w:rFonts w:cs="Calibri"/>
          <w:b/>
          <w:szCs w:val="20"/>
        </w:rPr>
        <w:t xml:space="preserve">7 rue de Jouy  </w:t>
      </w:r>
    </w:p>
    <w:p w:rsidR="002C06B7" w:rsidRDefault="00C33788">
      <w:pPr>
        <w:spacing w:before="0" w:after="0"/>
        <w:ind w:left="708"/>
        <w:jc w:val="center"/>
        <w:rPr>
          <w:rFonts w:cs="Calibri"/>
          <w:b/>
          <w:szCs w:val="20"/>
        </w:rPr>
      </w:pPr>
      <w:r>
        <w:rPr>
          <w:rFonts w:cs="Calibri"/>
          <w:b/>
          <w:szCs w:val="20"/>
        </w:rPr>
        <w:t>75181 Paris Cedex 04</w:t>
      </w:r>
    </w:p>
    <w:p w:rsidR="002C06B7" w:rsidRDefault="00C33788">
      <w:pPr>
        <w:spacing w:before="0" w:after="0"/>
        <w:rPr>
          <w:rFonts w:cs="Calibri"/>
          <w:szCs w:val="20"/>
        </w:rPr>
      </w:pPr>
      <w:r>
        <w:rPr>
          <w:rFonts w:cs="Calibri"/>
          <w:szCs w:val="20"/>
        </w:rPr>
        <w:t xml:space="preserve">Téléphone : 01 44 59 44 00 </w:t>
      </w:r>
    </w:p>
    <w:p w:rsidR="002C06B7" w:rsidRDefault="00C33788">
      <w:pPr>
        <w:spacing w:before="0" w:after="0"/>
        <w:rPr>
          <w:rFonts w:cs="Calibri"/>
          <w:szCs w:val="20"/>
        </w:rPr>
      </w:pPr>
      <w:r>
        <w:rPr>
          <w:rFonts w:cs="Calibri"/>
          <w:szCs w:val="20"/>
        </w:rPr>
        <w:t xml:space="preserve">Télécopie : 01 44 59 46 46 </w:t>
      </w:r>
    </w:p>
    <w:p w:rsidR="002C06B7" w:rsidRDefault="00C33788">
      <w:pPr>
        <w:spacing w:before="0" w:after="0"/>
        <w:rPr>
          <w:rStyle w:val="Lienhypertexte"/>
          <w:rFonts w:cs="Calibri"/>
          <w:szCs w:val="20"/>
        </w:rPr>
      </w:pPr>
      <w:r>
        <w:rPr>
          <w:rFonts w:cs="Calibri"/>
          <w:szCs w:val="20"/>
        </w:rPr>
        <w:t xml:space="preserve">Courriel : </w:t>
      </w:r>
      <w:hyperlink r:id="rId21" w:tooltip="mailto:greffe.ta-paris@juradm.fr" w:history="1">
        <w:r>
          <w:rPr>
            <w:rStyle w:val="Lienhypertexte"/>
            <w:rFonts w:cs="Calibri"/>
            <w:szCs w:val="20"/>
          </w:rPr>
          <w:t>greffe.ta-paris@juradm.fr</w:t>
        </w:r>
      </w:hyperlink>
      <w:r>
        <w:rPr>
          <w:rStyle w:val="Lienhypertexte"/>
          <w:rFonts w:cs="Calibri"/>
          <w:szCs w:val="20"/>
        </w:rPr>
        <w:t xml:space="preserve"> </w:t>
      </w:r>
    </w:p>
    <w:p w:rsidR="002C06B7" w:rsidRDefault="00C33788">
      <w:pPr>
        <w:spacing w:before="0" w:after="0"/>
        <w:rPr>
          <w:color w:val="FF0000"/>
          <w:szCs w:val="20"/>
        </w:rPr>
      </w:pPr>
      <w:r>
        <w:rPr>
          <w:rFonts w:cs="Calibri"/>
          <w:szCs w:val="20"/>
        </w:rPr>
        <w:t xml:space="preserve">URL : </w:t>
      </w:r>
      <w:hyperlink r:id="rId22" w:tooltip="https://paris.tribunal-administratif.fr/" w:history="1">
        <w:r>
          <w:rPr>
            <w:rStyle w:val="Lienhypertexte"/>
            <w:rFonts w:cs="Calibri"/>
            <w:szCs w:val="20"/>
          </w:rPr>
          <w:t>https://paris.tribunal-administratif.fr/</w:t>
        </w:r>
      </w:hyperlink>
    </w:p>
    <w:p w:rsidR="002C06B7" w:rsidRDefault="002C06B7">
      <w:pPr>
        <w:spacing w:before="0" w:after="0"/>
        <w:rPr>
          <w:szCs w:val="22"/>
        </w:rPr>
      </w:pPr>
    </w:p>
    <w:p w:rsidR="002C06B7" w:rsidRDefault="00C33788">
      <w:pPr>
        <w:pStyle w:val="Titre2"/>
      </w:pPr>
      <w:bookmarkStart w:id="158" w:name="_Toc198742661"/>
      <w:bookmarkStart w:id="159" w:name="_Toc202861595"/>
      <w:r>
        <w:t>Données personnelles</w:t>
      </w:r>
      <w:bookmarkEnd w:id="158"/>
      <w:bookmarkEnd w:id="145"/>
      <w:bookmarkEnd w:id="146"/>
      <w:bookmarkEnd w:id="147"/>
      <w:bookmarkEnd w:id="148"/>
      <w:bookmarkEnd w:id="159"/>
    </w:p>
    <w:p w:rsidR="002C06B7" w:rsidRDefault="00C33788">
      <w:pPr>
        <w:spacing w:before="0" w:after="0"/>
        <w:rPr>
          <w:szCs w:val="22"/>
          <w:lang w:val="de-DE"/>
        </w:rPr>
      </w:pPr>
      <w:r>
        <w:rPr>
          <w:b/>
          <w:bCs/>
          <w:szCs w:val="22"/>
        </w:rPr>
        <w:t>Protection des données à caractère personnel des candidats à la présente procédure</w:t>
      </w:r>
    </w:p>
    <w:p w:rsidR="002C06B7" w:rsidRDefault="00C33788">
      <w:pPr>
        <w:spacing w:before="0" w:after="0"/>
        <w:rPr>
          <w:szCs w:val="22"/>
        </w:rPr>
      </w:pPr>
      <w:r>
        <w:rPr>
          <w:szCs w:val="22"/>
        </w:rPr>
        <w:br/>
        <w:t>En application de l'article 13 du règlement (UE) 2016/679 du Parlement européen et du Conseil du 27 avril 2016 relatif à la protection des personnes physiques à l'égard du traitement des données à caractère personnel et à la libre circulation de ces données (RGPD), les candidats sont informés que des données à caractère personnel (notamment nom, prénom, adresse mail, données de connexion) collectées dans le cadre de la présente procédure de passation et dans le cadre de l'exécution du présent marché public sont susceptibles de faire l'objet de traitement(s).</w:t>
      </w:r>
    </w:p>
    <w:p w:rsidR="002C06B7" w:rsidRDefault="00C33788">
      <w:pPr>
        <w:keepNext/>
        <w:spacing w:before="0" w:after="0"/>
        <w:rPr>
          <w:szCs w:val="22"/>
        </w:rPr>
      </w:pPr>
      <w:r>
        <w:rPr>
          <w:szCs w:val="22"/>
        </w:rPr>
        <w:br/>
      </w:r>
      <w:r>
        <w:rPr>
          <w:b/>
          <w:bCs/>
          <w:szCs w:val="22"/>
        </w:rPr>
        <w:t>Identité et coordonnées du responsable de traitement et de son représentant</w:t>
      </w:r>
      <w:r>
        <w:rPr>
          <w:rFonts w:cs="Calibri"/>
          <w:b/>
          <w:bCs/>
          <w:szCs w:val="22"/>
        </w:rPr>
        <w:t> </w:t>
      </w:r>
      <w:r>
        <w:rPr>
          <w:b/>
          <w:bCs/>
          <w:szCs w:val="22"/>
        </w:rPr>
        <w:t>:</w:t>
      </w:r>
    </w:p>
    <w:p w:rsidR="002C06B7" w:rsidRDefault="002C06B7">
      <w:pPr>
        <w:spacing w:before="0" w:after="0"/>
        <w:rPr>
          <w:szCs w:val="22"/>
        </w:rPr>
      </w:pPr>
    </w:p>
    <w:p w:rsidR="002C06B7" w:rsidRDefault="00C33788">
      <w:pPr>
        <w:spacing w:before="0" w:after="0"/>
        <w:rPr>
          <w:szCs w:val="22"/>
        </w:rPr>
      </w:pPr>
      <w:r>
        <w:rPr>
          <w:szCs w:val="22"/>
        </w:rPr>
        <w:t>Ministère de l'intérieur</w:t>
      </w:r>
    </w:p>
    <w:p w:rsidR="002C06B7" w:rsidRDefault="00C33788">
      <w:pPr>
        <w:spacing w:before="0" w:after="0"/>
        <w:rPr>
          <w:szCs w:val="22"/>
        </w:rPr>
      </w:pPr>
      <w:r>
        <w:rPr>
          <w:szCs w:val="22"/>
        </w:rPr>
        <w:t>Direction de l’évaluation de la performance, de l’achat, des finances et de l’immobilier</w:t>
      </w:r>
    </w:p>
    <w:p w:rsidR="002C06B7" w:rsidRDefault="00C33788">
      <w:pPr>
        <w:spacing w:before="0" w:after="0"/>
        <w:rPr>
          <w:szCs w:val="22"/>
        </w:rPr>
      </w:pPr>
      <w:r>
        <w:rPr>
          <w:szCs w:val="22"/>
        </w:rPr>
        <w:t>Place Beauvau</w:t>
      </w:r>
    </w:p>
    <w:p w:rsidR="002C06B7" w:rsidRDefault="00C33788">
      <w:pPr>
        <w:spacing w:before="0" w:after="0"/>
        <w:rPr>
          <w:szCs w:val="22"/>
        </w:rPr>
      </w:pPr>
      <w:r>
        <w:rPr>
          <w:szCs w:val="22"/>
        </w:rPr>
        <w:t>75008 Paris</w:t>
      </w:r>
    </w:p>
    <w:p w:rsidR="002C06B7" w:rsidRDefault="00C33788">
      <w:pPr>
        <w:spacing w:before="0" w:after="0"/>
        <w:rPr>
          <w:szCs w:val="22"/>
        </w:rPr>
      </w:pPr>
      <w:r>
        <w:rPr>
          <w:szCs w:val="22"/>
        </w:rPr>
        <w:br/>
      </w:r>
      <w:r>
        <w:rPr>
          <w:b/>
          <w:bCs/>
          <w:szCs w:val="22"/>
        </w:rPr>
        <w:t>Responsable de Traitement Opérationnel (RTO) :</w:t>
      </w:r>
    </w:p>
    <w:p w:rsidR="002C06B7" w:rsidRDefault="00C33788">
      <w:pPr>
        <w:spacing w:before="0" w:after="0"/>
        <w:rPr>
          <w:szCs w:val="22"/>
        </w:rPr>
      </w:pPr>
      <w:r>
        <w:rPr>
          <w:szCs w:val="22"/>
        </w:rPr>
        <w:t>La Direction de l’évaluation de la performance, de l’achat, des finances et de l’immobilier,</w:t>
      </w:r>
    </w:p>
    <w:p w:rsidR="002C06B7" w:rsidRDefault="00C33788">
      <w:pPr>
        <w:spacing w:before="0" w:after="0"/>
        <w:rPr>
          <w:szCs w:val="22"/>
        </w:rPr>
      </w:pPr>
      <w:r>
        <w:rPr>
          <w:szCs w:val="22"/>
        </w:rPr>
        <w:t>Représentée par le Directeur de l’évaluation de la performance, de l’achat, des finances et de l’immobilier.</w:t>
      </w:r>
    </w:p>
    <w:p w:rsidR="002C06B7" w:rsidRDefault="002C06B7">
      <w:pPr>
        <w:spacing w:before="0" w:after="0"/>
        <w:rPr>
          <w:szCs w:val="22"/>
        </w:rPr>
      </w:pPr>
    </w:p>
    <w:p w:rsidR="002C06B7" w:rsidRDefault="00C33788">
      <w:pPr>
        <w:spacing w:before="0" w:after="0"/>
        <w:rPr>
          <w:szCs w:val="22"/>
          <w:lang w:val="de-DE"/>
        </w:rPr>
      </w:pPr>
      <w:r>
        <w:rPr>
          <w:b/>
          <w:bCs/>
          <w:szCs w:val="22"/>
        </w:rPr>
        <w:t>Coordonnées du délégué à la protection des données</w:t>
      </w:r>
      <w:r>
        <w:rPr>
          <w:rFonts w:cs="Calibri"/>
          <w:b/>
          <w:bCs/>
          <w:szCs w:val="22"/>
        </w:rPr>
        <w:t> </w:t>
      </w:r>
      <w:r>
        <w:rPr>
          <w:b/>
          <w:bCs/>
          <w:szCs w:val="22"/>
        </w:rPr>
        <w:t>:</w:t>
      </w:r>
    </w:p>
    <w:p w:rsidR="002C06B7" w:rsidRDefault="00C33788">
      <w:pPr>
        <w:spacing w:before="0" w:after="0"/>
        <w:rPr>
          <w:szCs w:val="22"/>
        </w:rPr>
      </w:pPr>
      <w:r>
        <w:rPr>
          <w:szCs w:val="22"/>
        </w:rPr>
        <w:br/>
      </w:r>
      <w:hyperlink r:id="rId23" w:tooltip="mailto:données-personnelles-depafi@interieur.gouv.fr" w:history="1">
        <w:r>
          <w:rPr>
            <w:rStyle w:val="Lienhypertexte"/>
            <w:szCs w:val="22"/>
          </w:rPr>
          <w:t>données-personnelles-depafi@interieur.gouv.fr</w:t>
        </w:r>
      </w:hyperlink>
    </w:p>
    <w:p w:rsidR="002C06B7" w:rsidRDefault="00C33788">
      <w:pPr>
        <w:spacing w:before="0" w:after="0"/>
        <w:rPr>
          <w:szCs w:val="22"/>
        </w:rPr>
      </w:pPr>
      <w:r>
        <w:rPr>
          <w:szCs w:val="22"/>
        </w:rPr>
        <w:br/>
      </w:r>
      <w:r>
        <w:rPr>
          <w:b/>
          <w:bCs/>
          <w:szCs w:val="22"/>
        </w:rPr>
        <w:t>Base juridique du traitement</w:t>
      </w:r>
      <w:r>
        <w:rPr>
          <w:rFonts w:cs="Calibri"/>
          <w:b/>
          <w:bCs/>
          <w:szCs w:val="22"/>
        </w:rPr>
        <w:t> </w:t>
      </w:r>
      <w:r>
        <w:rPr>
          <w:szCs w:val="22"/>
        </w:rPr>
        <w:t>: c) et e) de l'article 6.1 du RGPD</w:t>
      </w:r>
    </w:p>
    <w:p w:rsidR="002C06B7" w:rsidRDefault="00C33788">
      <w:pPr>
        <w:spacing w:before="0" w:after="0"/>
        <w:rPr>
          <w:szCs w:val="22"/>
        </w:rPr>
      </w:pPr>
      <w:r>
        <w:rPr>
          <w:szCs w:val="22"/>
        </w:rPr>
        <w:br/>
      </w:r>
      <w:r>
        <w:rPr>
          <w:b/>
          <w:bCs/>
          <w:szCs w:val="22"/>
        </w:rPr>
        <w:t>Finalité du ou des traitements</w:t>
      </w:r>
      <w:r>
        <w:rPr>
          <w:rFonts w:cs="Calibri"/>
          <w:szCs w:val="22"/>
        </w:rPr>
        <w:t> </w:t>
      </w:r>
      <w:r>
        <w:rPr>
          <w:szCs w:val="22"/>
        </w:rPr>
        <w:t>: suivi de la pr</w:t>
      </w:r>
      <w:r>
        <w:rPr>
          <w:rFonts w:cs="Marianne"/>
          <w:szCs w:val="22"/>
        </w:rPr>
        <w:t>é</w:t>
      </w:r>
      <w:r>
        <w:rPr>
          <w:szCs w:val="22"/>
        </w:rPr>
        <w:t>sente proc</w:t>
      </w:r>
      <w:r>
        <w:rPr>
          <w:rFonts w:cs="Marianne"/>
          <w:szCs w:val="22"/>
        </w:rPr>
        <w:t>é</w:t>
      </w:r>
      <w:r>
        <w:rPr>
          <w:szCs w:val="22"/>
        </w:rPr>
        <w:t>dure de passation, attribution du march</w:t>
      </w:r>
      <w:r>
        <w:rPr>
          <w:rFonts w:cs="Marianne"/>
          <w:szCs w:val="22"/>
        </w:rPr>
        <w:t>é</w:t>
      </w:r>
      <w:r>
        <w:rPr>
          <w:szCs w:val="22"/>
        </w:rPr>
        <w:t xml:space="preserve"> public et</w:t>
      </w:r>
      <w:r>
        <w:rPr>
          <w:rFonts w:cs="Calibri"/>
          <w:szCs w:val="22"/>
        </w:rPr>
        <w:t> </w:t>
      </w:r>
      <w:r>
        <w:rPr>
          <w:szCs w:val="22"/>
        </w:rPr>
        <w:t>obligations l</w:t>
      </w:r>
      <w:r>
        <w:rPr>
          <w:rFonts w:cs="Marianne"/>
          <w:szCs w:val="22"/>
        </w:rPr>
        <w:t>é</w:t>
      </w:r>
      <w:r>
        <w:rPr>
          <w:szCs w:val="22"/>
        </w:rPr>
        <w:t>gales en mati</w:t>
      </w:r>
      <w:r>
        <w:rPr>
          <w:rFonts w:cs="Marianne"/>
          <w:szCs w:val="22"/>
        </w:rPr>
        <w:t>è</w:t>
      </w:r>
      <w:r>
        <w:rPr>
          <w:szCs w:val="22"/>
        </w:rPr>
        <w:t>re de dur</w:t>
      </w:r>
      <w:r>
        <w:rPr>
          <w:rFonts w:cs="Marianne"/>
          <w:szCs w:val="22"/>
        </w:rPr>
        <w:t>é</w:t>
      </w:r>
      <w:r>
        <w:rPr>
          <w:szCs w:val="22"/>
        </w:rPr>
        <w:t>e d'utilit</w:t>
      </w:r>
      <w:r>
        <w:rPr>
          <w:rFonts w:cs="Marianne"/>
          <w:szCs w:val="22"/>
        </w:rPr>
        <w:t>é</w:t>
      </w:r>
      <w:r>
        <w:rPr>
          <w:szCs w:val="22"/>
        </w:rPr>
        <w:t xml:space="preserve"> administrative (DUA) applicable aux march</w:t>
      </w:r>
      <w:r>
        <w:rPr>
          <w:rFonts w:cs="Marianne"/>
          <w:szCs w:val="22"/>
        </w:rPr>
        <w:t>é</w:t>
      </w:r>
      <w:r>
        <w:rPr>
          <w:szCs w:val="22"/>
        </w:rPr>
        <w:t>s publics.</w:t>
      </w:r>
    </w:p>
    <w:p w:rsidR="002C06B7" w:rsidRDefault="00C33788">
      <w:pPr>
        <w:spacing w:before="0" w:after="0"/>
        <w:rPr>
          <w:szCs w:val="22"/>
        </w:rPr>
      </w:pPr>
      <w:r>
        <w:rPr>
          <w:szCs w:val="22"/>
        </w:rPr>
        <w:br/>
      </w:r>
      <w:r>
        <w:rPr>
          <w:b/>
          <w:bCs/>
          <w:szCs w:val="22"/>
        </w:rPr>
        <w:t>Destinataires ou catégorie de destinataires</w:t>
      </w:r>
      <w:r>
        <w:rPr>
          <w:rFonts w:cs="Calibri"/>
          <w:b/>
          <w:bCs/>
          <w:szCs w:val="22"/>
        </w:rPr>
        <w:t> </w:t>
      </w:r>
      <w:r>
        <w:rPr>
          <w:szCs w:val="22"/>
        </w:rPr>
        <w:t xml:space="preserve">: les données à caractère personnel concernées </w:t>
      </w:r>
      <w:r>
        <w:rPr>
          <w:szCs w:val="22"/>
        </w:rPr>
        <w:lastRenderedPageBreak/>
        <w:t>sont destinées exclusivement aux agents de l'Acheteur, des ministères et des opérateurs de l'Etat, en charge de la passation puis de l'exécution du présent contrat.</w:t>
      </w:r>
    </w:p>
    <w:p w:rsidR="002C06B7" w:rsidRDefault="00C33788">
      <w:pPr>
        <w:spacing w:before="0" w:after="0"/>
        <w:rPr>
          <w:szCs w:val="22"/>
        </w:rPr>
      </w:pPr>
      <w:r>
        <w:rPr>
          <w:szCs w:val="22"/>
        </w:rPr>
        <w:br/>
      </w:r>
      <w:r>
        <w:rPr>
          <w:b/>
          <w:bCs/>
          <w:szCs w:val="22"/>
        </w:rPr>
        <w:t>Durée de conservation</w:t>
      </w:r>
      <w:r>
        <w:rPr>
          <w:rFonts w:cs="Calibri"/>
          <w:b/>
          <w:bCs/>
          <w:szCs w:val="22"/>
        </w:rPr>
        <w:t> </w:t>
      </w:r>
      <w:r>
        <w:rPr>
          <w:szCs w:val="22"/>
        </w:rPr>
        <w:t>: ces données sont conservées pendant toute la durée de passation et d'exécution du contrat ainsi que durant la DUA applicable au contrat.</w:t>
      </w:r>
    </w:p>
    <w:p w:rsidR="002C06B7" w:rsidRDefault="002C06B7">
      <w:pPr>
        <w:spacing w:before="0" w:after="0"/>
        <w:rPr>
          <w:szCs w:val="22"/>
        </w:rPr>
      </w:pPr>
    </w:p>
    <w:p w:rsidR="002C06B7" w:rsidRDefault="00C33788">
      <w:pPr>
        <w:spacing w:before="0" w:after="0"/>
        <w:rPr>
          <w:szCs w:val="22"/>
        </w:rPr>
      </w:pPr>
      <w:r>
        <w:rPr>
          <w:szCs w:val="22"/>
        </w:rPr>
        <w:t>Conformément aux dispositions des articles 15 à 21 du RGPD, les personnes dont les données à caractère personnel sont collectées disposent notamment d'un droit d'accès, de rectification et d'effacement à ces informations qui les concernent. Elles peuvent également s'opposer au traitement de ces données. L'exercice des droits d'information et d'accès aux données à caractère personnel peut être effectué auprès du délégué à la protection des données.</w:t>
      </w:r>
    </w:p>
    <w:p w:rsidR="002C06B7" w:rsidRDefault="002C06B7">
      <w:pPr>
        <w:spacing w:before="0" w:after="0"/>
        <w:rPr>
          <w:szCs w:val="22"/>
        </w:rPr>
      </w:pPr>
    </w:p>
    <w:p w:rsidR="002C06B7" w:rsidRDefault="00C33788">
      <w:pPr>
        <w:spacing w:before="0" w:after="0"/>
        <w:rPr>
          <w:szCs w:val="22"/>
        </w:rPr>
      </w:pPr>
      <w:r>
        <w:rPr>
          <w:szCs w:val="22"/>
        </w:rPr>
        <w:t>La personne dont les données à caractère personnel sont collectées dans le cadre de la présente procédure dispose d'un droit de réclamation auprès de la CNIL.</w:t>
      </w:r>
    </w:p>
    <w:p w:rsidR="002C06B7" w:rsidRDefault="002C06B7">
      <w:pPr>
        <w:spacing w:before="0" w:after="0"/>
        <w:rPr>
          <w:szCs w:val="22"/>
        </w:rPr>
      </w:pPr>
    </w:p>
    <w:p w:rsidR="002C06B7" w:rsidRDefault="00C33788">
      <w:pPr>
        <w:jc w:val="center"/>
        <w:rPr>
          <w:szCs w:val="22"/>
        </w:rPr>
      </w:pPr>
      <w:r>
        <w:rPr>
          <w:szCs w:val="22"/>
        </w:rPr>
        <w:t>Commission Nationale de l’Informatique et des Libertés (CNIL)</w:t>
      </w:r>
    </w:p>
    <w:p w:rsidR="002C06B7" w:rsidRDefault="00C33788">
      <w:pPr>
        <w:jc w:val="center"/>
        <w:rPr>
          <w:szCs w:val="22"/>
        </w:rPr>
      </w:pPr>
      <w:r>
        <w:rPr>
          <w:szCs w:val="22"/>
        </w:rPr>
        <w:t>3 Place de Fontenoy</w:t>
      </w:r>
    </w:p>
    <w:p w:rsidR="002C06B7" w:rsidRDefault="00C33788">
      <w:pPr>
        <w:jc w:val="center"/>
        <w:rPr>
          <w:szCs w:val="22"/>
        </w:rPr>
      </w:pPr>
      <w:r>
        <w:rPr>
          <w:szCs w:val="22"/>
        </w:rPr>
        <w:t>TSA 80715</w:t>
      </w:r>
    </w:p>
    <w:p w:rsidR="002C06B7" w:rsidRDefault="00C33788">
      <w:pPr>
        <w:jc w:val="center"/>
        <w:rPr>
          <w:szCs w:val="22"/>
        </w:rPr>
      </w:pPr>
      <w:r>
        <w:rPr>
          <w:szCs w:val="22"/>
        </w:rPr>
        <w:t>75334 PARIS CEDEX 07</w:t>
      </w:r>
    </w:p>
    <w:p w:rsidR="002C06B7" w:rsidRDefault="002C06B7">
      <w:pPr>
        <w:spacing w:before="0" w:after="0"/>
        <w:rPr>
          <w:szCs w:val="22"/>
        </w:rPr>
      </w:pPr>
    </w:p>
    <w:p w:rsidR="002C06B7" w:rsidRDefault="00C33788">
      <w:pPr>
        <w:pStyle w:val="Titre1"/>
        <w:numPr>
          <w:ilvl w:val="0"/>
          <w:numId w:val="0"/>
        </w:numPr>
      </w:pPr>
      <w:bookmarkStart w:id="160" w:name="_Toc198742662"/>
      <w:bookmarkStart w:id="161" w:name="_Toc202861596"/>
      <w:r>
        <w:lastRenderedPageBreak/>
        <w:t>ANNEXE I – Modalités de retrait du dossier de consultation et de remise du pli</w:t>
      </w:r>
      <w:bookmarkEnd w:id="160"/>
      <w:bookmarkEnd w:id="161"/>
    </w:p>
    <w:p w:rsidR="002C06B7" w:rsidRDefault="00C33788">
      <w:pPr>
        <w:pStyle w:val="Titre2"/>
        <w:numPr>
          <w:ilvl w:val="0"/>
          <w:numId w:val="0"/>
        </w:numPr>
      </w:pPr>
      <w:bookmarkStart w:id="162" w:name="_Toc464652756"/>
      <w:bookmarkStart w:id="163" w:name="_Toc198742663"/>
      <w:bookmarkStart w:id="164" w:name="_Toc202861597"/>
      <w:r>
        <w:t>A. Modalités de retrait du dossier de consultation</w:t>
      </w:r>
      <w:bookmarkEnd w:id="162"/>
      <w:bookmarkEnd w:id="163"/>
      <w:bookmarkEnd w:id="164"/>
    </w:p>
    <w:p w:rsidR="002C06B7" w:rsidRDefault="00C33788">
      <w:pPr>
        <w:jc w:val="left"/>
        <w:rPr>
          <w:szCs w:val="22"/>
        </w:rPr>
      </w:pPr>
      <w:r>
        <w:rPr>
          <w:szCs w:val="22"/>
        </w:rPr>
        <w:t xml:space="preserve">Le candidat télécharge le dossier de consultation sur « marches-publics.gouv.fr » en se connectant au site de la PLACE à partir de l’adresse électronique ci-après : </w:t>
      </w:r>
      <w:hyperlink r:id="rId24" w:tooltip="https://www.marches-publics.gouv.fr/?page=entreprise.AccueilEntreprise" w:history="1">
        <w:r>
          <w:rPr>
            <w:rStyle w:val="Lienhypertexte"/>
            <w:szCs w:val="22"/>
          </w:rPr>
          <w:t>https://www.marches-publics.gouv.fr/?page=entreprise.AccueilEntreprise</w:t>
        </w:r>
      </w:hyperlink>
    </w:p>
    <w:p w:rsidR="002C06B7" w:rsidRDefault="00C33788">
      <w:pPr>
        <w:pStyle w:val="Titre2"/>
        <w:numPr>
          <w:ilvl w:val="0"/>
          <w:numId w:val="0"/>
        </w:numPr>
        <w:spacing w:before="360"/>
      </w:pPr>
      <w:bookmarkStart w:id="165" w:name="_Toc448934238"/>
      <w:bookmarkStart w:id="166" w:name="_Toc464652757"/>
      <w:bookmarkStart w:id="167" w:name="_Toc198742664"/>
      <w:bookmarkStart w:id="168" w:name="_Toc202861598"/>
      <w:bookmarkEnd w:id="165"/>
      <w:r>
        <w:t>B. Remise du pli</w:t>
      </w:r>
      <w:bookmarkEnd w:id="166"/>
      <w:bookmarkEnd w:id="167"/>
      <w:bookmarkEnd w:id="168"/>
    </w:p>
    <w:p w:rsidR="002C06B7" w:rsidRDefault="00C33788">
      <w:pPr>
        <w:rPr>
          <w:szCs w:val="22"/>
        </w:rPr>
      </w:pPr>
      <w:r>
        <w:rPr>
          <w:szCs w:val="22"/>
        </w:rPr>
        <w:t>Le candidat remet son dossier offre par dépôt sur la PLACE « marches-publics.gouv.fr ». Pour ce faire, il doit d’abord se connecter au site de la PLACE à partir de l’adresse électronique ci-après :</w:t>
      </w:r>
    </w:p>
    <w:p w:rsidR="002C06B7" w:rsidRDefault="00C33788">
      <w:pPr>
        <w:rPr>
          <w:szCs w:val="22"/>
        </w:rPr>
      </w:pPr>
      <w:r>
        <w:rPr>
          <w:szCs w:val="22"/>
        </w:rPr>
        <w:t xml:space="preserve"> </w:t>
      </w:r>
      <w:hyperlink r:id="rId25" w:tooltip="https://www.marches-publics.gouv.fr/?page=entreprise.AccueilEntreprise" w:history="1">
        <w:r>
          <w:rPr>
            <w:rStyle w:val="Lienhypertexte"/>
            <w:szCs w:val="22"/>
          </w:rPr>
          <w:t>https://www.marches-publics.gouv.fr/?page=entreprise.AccueilEntreprise</w:t>
        </w:r>
      </w:hyperlink>
    </w:p>
    <w:p w:rsidR="002C06B7" w:rsidRDefault="00C33788">
      <w:pPr>
        <w:pStyle w:val="Titre2"/>
        <w:numPr>
          <w:ilvl w:val="0"/>
          <w:numId w:val="0"/>
        </w:numPr>
        <w:spacing w:before="360"/>
      </w:pPr>
      <w:bookmarkStart w:id="169" w:name="_Toc464652758"/>
      <w:bookmarkStart w:id="170" w:name="_Toc198742665"/>
      <w:bookmarkStart w:id="171" w:name="_Toc202861599"/>
      <w:r>
        <w:t>C. Forme du pli</w:t>
      </w:r>
      <w:bookmarkEnd w:id="169"/>
      <w:bookmarkEnd w:id="170"/>
      <w:bookmarkEnd w:id="171"/>
    </w:p>
    <w:p w:rsidR="002C06B7" w:rsidRDefault="00C33788">
      <w:pPr>
        <w:rPr>
          <w:szCs w:val="22"/>
        </w:rPr>
      </w:pPr>
      <w:r>
        <w:rPr>
          <w:szCs w:val="22"/>
        </w:rPr>
        <w:t xml:space="preserve">Le candidat doit déposer sur la PLACE un dossier unique comprenant les éléments de candidature et les éléments de l’offre. Le pouvoir adjudicateur ne souhaite qu’un seul exemplaire électronique dudit dossier. </w:t>
      </w:r>
    </w:p>
    <w:p w:rsidR="002C06B7" w:rsidRDefault="00C33788">
      <w:pPr>
        <w:rPr>
          <w:szCs w:val="22"/>
        </w:rPr>
      </w:pPr>
      <w:r>
        <w:rPr>
          <w:szCs w:val="22"/>
        </w:rPr>
        <w:t>Conformément à l’a</w:t>
      </w:r>
      <w:r>
        <w:rPr>
          <w:rStyle w:val="lev"/>
          <w:b w:val="0"/>
          <w:szCs w:val="22"/>
        </w:rPr>
        <w:t xml:space="preserve">rrêté </w:t>
      </w:r>
      <w:r>
        <w:rPr>
          <w:bCs/>
          <w:szCs w:val="22"/>
        </w:rPr>
        <w:t>du 22 mars 2019 fixant les modalités de mise à disposition des documents de la consultation et de la copie de sauvegarde</w:t>
      </w:r>
      <w:r>
        <w:rPr>
          <w:szCs w:val="22"/>
        </w:rPr>
        <w:t>, le candidat peut adresser au pouvoir adjudicateur une copie de sauvegarde de ce dossier :</w:t>
      </w:r>
    </w:p>
    <w:p w:rsidR="002C06B7" w:rsidRDefault="00C33788">
      <w:pPr>
        <w:pStyle w:val="2Listepoints"/>
        <w:rPr>
          <w:lang w:eastAsia="en-US"/>
        </w:rPr>
      </w:pPr>
      <w:r>
        <w:rPr>
          <w:lang w:eastAsia="en-US"/>
        </w:rPr>
        <w:t>Soit sur support papier ;</w:t>
      </w:r>
    </w:p>
    <w:p w:rsidR="002C06B7" w:rsidRDefault="00C33788">
      <w:pPr>
        <w:pStyle w:val="2Listepoints"/>
        <w:rPr>
          <w:lang w:eastAsia="en-US"/>
        </w:rPr>
      </w:pPr>
      <w:r>
        <w:rPr>
          <w:lang w:eastAsia="en-US"/>
        </w:rPr>
        <w:t xml:space="preserve">Soit sur support physique électronique : CD-ROM, DVD-ROM, clé USB, etc. La copie remise doit alors se présenter sous la même forme que le dossier remis sur la PLACE. </w:t>
      </w:r>
    </w:p>
    <w:p w:rsidR="002C06B7" w:rsidRDefault="00C33788">
      <w:pPr>
        <w:rPr>
          <w:szCs w:val="22"/>
        </w:rPr>
      </w:pPr>
      <w:r>
        <w:rPr>
          <w:szCs w:val="22"/>
        </w:rPr>
        <w:t xml:space="preserve">Quel que soit le type de support retenu, cette copie doit parvenir à le pouvoir adjudicateur dans le délai imparti pour la remise des offres, mentionné à l’article </w:t>
      </w:r>
      <w:r>
        <w:rPr>
          <w:szCs w:val="22"/>
        </w:rPr>
        <w:fldChar w:fldCharType="begin"/>
      </w:r>
      <w:r>
        <w:rPr>
          <w:szCs w:val="22"/>
        </w:rPr>
        <w:instrText xml:space="preserve"> REF _Ref341079480 \r \h  \* MERGEFORMAT </w:instrText>
      </w:r>
      <w:r>
        <w:rPr>
          <w:szCs w:val="22"/>
        </w:rPr>
      </w:r>
      <w:r>
        <w:rPr>
          <w:szCs w:val="22"/>
        </w:rPr>
        <w:fldChar w:fldCharType="separate"/>
      </w:r>
      <w:r>
        <w:rPr>
          <w:szCs w:val="22"/>
        </w:rPr>
        <w:t>III.2.1</w:t>
      </w:r>
      <w:r>
        <w:rPr>
          <w:szCs w:val="22"/>
        </w:rPr>
        <w:fldChar w:fldCharType="end"/>
      </w:r>
      <w:r>
        <w:rPr>
          <w:szCs w:val="22"/>
        </w:rPr>
        <w:t xml:space="preserve"> du présent règlement, selon l’un des modes de transmission ci-après :</w:t>
      </w:r>
    </w:p>
    <w:p w:rsidR="002C06B7" w:rsidRDefault="00C33788">
      <w:pPr>
        <w:pStyle w:val="2Listepoints"/>
        <w:rPr>
          <w:lang w:eastAsia="en-US"/>
        </w:rPr>
      </w:pPr>
      <w:r>
        <w:rPr>
          <w:lang w:eastAsia="en-US"/>
        </w:rPr>
        <w:t>Soit par voie postale, en recommandé avec avis de réception, à l’adresse suivante :</w:t>
      </w:r>
    </w:p>
    <w:p w:rsidR="002C06B7" w:rsidRDefault="002C06B7">
      <w:pPr>
        <w:pStyle w:val="2Listepoints"/>
        <w:numPr>
          <w:ilvl w:val="0"/>
          <w:numId w:val="0"/>
        </w:numPr>
        <w:ind w:left="360"/>
        <w:rPr>
          <w:lang w:eastAsia="en-US"/>
        </w:rPr>
      </w:pPr>
    </w:p>
    <w:p w:rsidR="002C06B7" w:rsidRDefault="00C33788">
      <w:pPr>
        <w:spacing w:before="0" w:after="0"/>
        <w:jc w:val="center"/>
        <w:rPr>
          <w:rFonts w:cs="Calibri"/>
          <w:b/>
          <w:szCs w:val="22"/>
        </w:rPr>
      </w:pPr>
      <w:r>
        <w:rPr>
          <w:rFonts w:cs="Calibri"/>
          <w:b/>
          <w:szCs w:val="22"/>
        </w:rPr>
        <w:t xml:space="preserve">Ministère de l'Intérieur </w:t>
      </w:r>
    </w:p>
    <w:p w:rsidR="002C06B7" w:rsidRDefault="00C33788">
      <w:pPr>
        <w:spacing w:before="0" w:after="0"/>
        <w:jc w:val="center"/>
        <w:rPr>
          <w:rFonts w:cs="Calibri"/>
          <w:szCs w:val="22"/>
        </w:rPr>
      </w:pPr>
      <w:r>
        <w:rPr>
          <w:rFonts w:cs="Calibri"/>
          <w:szCs w:val="22"/>
        </w:rPr>
        <w:t>Direction de l’évaluation, de la performance, de l’achat, des finances et de l’immobilier</w:t>
      </w:r>
    </w:p>
    <w:p w:rsidR="002C06B7" w:rsidRDefault="00C33788">
      <w:pPr>
        <w:spacing w:before="0" w:after="0"/>
        <w:jc w:val="center"/>
        <w:rPr>
          <w:rFonts w:cs="Calibri"/>
          <w:szCs w:val="22"/>
        </w:rPr>
      </w:pPr>
      <w:r>
        <w:rPr>
          <w:rFonts w:cs="Calibri"/>
          <w:szCs w:val="22"/>
        </w:rPr>
        <w:t>Service de l’achat, de l’innovation et de la logistique du ministère de l’Intérieur</w:t>
      </w:r>
    </w:p>
    <w:p w:rsidR="002C06B7" w:rsidRDefault="00C33788">
      <w:pPr>
        <w:spacing w:before="0" w:after="0"/>
        <w:jc w:val="center"/>
        <w:rPr>
          <w:rFonts w:cs="Calibri"/>
          <w:szCs w:val="22"/>
        </w:rPr>
      </w:pPr>
      <w:r>
        <w:rPr>
          <w:rFonts w:cs="Calibri"/>
          <w:szCs w:val="22"/>
        </w:rPr>
        <w:t>Sous-direction de l’achat et du suivi de l’exécution des marches</w:t>
      </w:r>
    </w:p>
    <w:p w:rsidR="002C06B7" w:rsidRDefault="00C33788">
      <w:pPr>
        <w:spacing w:before="0" w:after="0"/>
        <w:jc w:val="center"/>
        <w:rPr>
          <w:rFonts w:cs="Calibri"/>
          <w:szCs w:val="22"/>
        </w:rPr>
      </w:pPr>
      <w:r>
        <w:rPr>
          <w:rFonts w:cs="Calibri"/>
          <w:szCs w:val="22"/>
        </w:rPr>
        <w:t>Bureau des achats immobiliers et prestations</w:t>
      </w:r>
    </w:p>
    <w:p w:rsidR="002C06B7" w:rsidRDefault="002C06B7">
      <w:pPr>
        <w:spacing w:before="0" w:after="0"/>
        <w:jc w:val="center"/>
        <w:rPr>
          <w:rFonts w:cs="Calibri"/>
          <w:szCs w:val="22"/>
        </w:rPr>
      </w:pPr>
    </w:p>
    <w:p w:rsidR="002C06B7" w:rsidRDefault="00C33788">
      <w:pPr>
        <w:spacing w:before="0" w:after="0"/>
        <w:jc w:val="center"/>
        <w:rPr>
          <w:rFonts w:cs="Calibri"/>
          <w:szCs w:val="22"/>
        </w:rPr>
      </w:pPr>
      <w:r>
        <w:rPr>
          <w:rFonts w:cs="Calibri"/>
          <w:szCs w:val="22"/>
        </w:rPr>
        <w:t>Place Beauvau – immeuble Lumière</w:t>
      </w:r>
    </w:p>
    <w:p w:rsidR="002C06B7" w:rsidRDefault="00C33788">
      <w:pPr>
        <w:spacing w:before="0" w:after="0"/>
        <w:jc w:val="center"/>
        <w:rPr>
          <w:rFonts w:cs="Calibri"/>
          <w:szCs w:val="22"/>
        </w:rPr>
      </w:pPr>
      <w:r>
        <w:rPr>
          <w:rFonts w:cs="Calibri"/>
          <w:szCs w:val="22"/>
        </w:rPr>
        <w:t>75800 – Paris cedex 08</w:t>
      </w:r>
    </w:p>
    <w:p w:rsidR="002C06B7" w:rsidRDefault="002C06B7">
      <w:pPr>
        <w:pStyle w:val="2Listepoints"/>
        <w:numPr>
          <w:ilvl w:val="0"/>
          <w:numId w:val="0"/>
        </w:numPr>
        <w:ind w:left="360"/>
        <w:rPr>
          <w:lang w:eastAsia="en-US"/>
        </w:rPr>
      </w:pPr>
    </w:p>
    <w:p w:rsidR="002C06B7" w:rsidRDefault="00C33788">
      <w:pPr>
        <w:pStyle w:val="2Listepoints"/>
        <w:rPr>
          <w:lang w:eastAsia="en-US"/>
        </w:rPr>
      </w:pPr>
      <w:r>
        <w:rPr>
          <w:lang w:eastAsia="en-US"/>
        </w:rPr>
        <w:t>Soit par dépôt physique dans les locaux du ministère de l’intérieur, contre remise d’un récépissé, du lundi au vendredi de 9 heures 30 à 17 heures 00 (interruption des dépôts de 12 heures 00 à 14 heures 00), à l’adresse ci-après :</w:t>
      </w:r>
    </w:p>
    <w:p w:rsidR="002C06B7" w:rsidRDefault="002C06B7">
      <w:pPr>
        <w:pStyle w:val="2Listepoints"/>
        <w:numPr>
          <w:ilvl w:val="0"/>
          <w:numId w:val="0"/>
        </w:numPr>
        <w:ind w:left="720" w:hanging="360"/>
        <w:rPr>
          <w:lang w:eastAsia="en-US"/>
        </w:rPr>
      </w:pPr>
    </w:p>
    <w:p w:rsidR="002C06B7" w:rsidRDefault="00C33788">
      <w:pPr>
        <w:spacing w:before="0" w:after="0"/>
        <w:jc w:val="center"/>
        <w:rPr>
          <w:rFonts w:cs="Calibri"/>
          <w:b/>
          <w:szCs w:val="22"/>
        </w:rPr>
      </w:pPr>
      <w:r>
        <w:rPr>
          <w:rFonts w:cs="Calibri"/>
          <w:b/>
          <w:szCs w:val="22"/>
        </w:rPr>
        <w:lastRenderedPageBreak/>
        <w:t xml:space="preserve">Ministère de l'Intérieur </w:t>
      </w:r>
    </w:p>
    <w:p w:rsidR="002C06B7" w:rsidRDefault="00C33788">
      <w:pPr>
        <w:spacing w:before="0" w:after="0"/>
        <w:jc w:val="center"/>
        <w:rPr>
          <w:rFonts w:cs="Calibri"/>
          <w:szCs w:val="22"/>
        </w:rPr>
      </w:pPr>
      <w:r>
        <w:rPr>
          <w:rFonts w:cs="Calibri"/>
          <w:szCs w:val="22"/>
        </w:rPr>
        <w:t>Direction de l’évaluation, de la performance, de l’achat, des finances et de l’immobilier</w:t>
      </w:r>
    </w:p>
    <w:p w:rsidR="002C06B7" w:rsidRDefault="00C33788">
      <w:pPr>
        <w:spacing w:before="0" w:after="0"/>
        <w:jc w:val="center"/>
        <w:rPr>
          <w:rFonts w:cs="Calibri"/>
          <w:szCs w:val="22"/>
        </w:rPr>
      </w:pPr>
      <w:r>
        <w:rPr>
          <w:rFonts w:cs="Calibri"/>
          <w:szCs w:val="22"/>
        </w:rPr>
        <w:t>Service de l’achat, de l’innovation et de la logistique du ministère de l’Intérieur</w:t>
      </w:r>
    </w:p>
    <w:p w:rsidR="002C06B7" w:rsidRDefault="00C33788">
      <w:pPr>
        <w:spacing w:before="0" w:after="0"/>
        <w:jc w:val="center"/>
        <w:rPr>
          <w:rFonts w:cs="Calibri"/>
          <w:szCs w:val="22"/>
        </w:rPr>
      </w:pPr>
      <w:r>
        <w:rPr>
          <w:rFonts w:cs="Calibri"/>
          <w:szCs w:val="22"/>
        </w:rPr>
        <w:t>Sous-direction de l’achat et du suivi de l’exécution des marches</w:t>
      </w:r>
    </w:p>
    <w:p w:rsidR="002C06B7" w:rsidRDefault="00C33788">
      <w:pPr>
        <w:spacing w:before="0" w:after="0"/>
        <w:jc w:val="center"/>
        <w:rPr>
          <w:rFonts w:cs="Calibri"/>
          <w:szCs w:val="22"/>
        </w:rPr>
      </w:pPr>
      <w:r>
        <w:rPr>
          <w:rFonts w:cs="Calibri"/>
          <w:szCs w:val="22"/>
        </w:rPr>
        <w:t>Bureau des achats immobiliers et prestations</w:t>
      </w:r>
    </w:p>
    <w:p w:rsidR="002C06B7" w:rsidRDefault="002C06B7">
      <w:pPr>
        <w:spacing w:before="0" w:after="0"/>
        <w:jc w:val="center"/>
        <w:rPr>
          <w:rFonts w:cs="Calibri"/>
          <w:szCs w:val="22"/>
        </w:rPr>
      </w:pPr>
    </w:p>
    <w:p w:rsidR="002C06B7" w:rsidRDefault="00C33788">
      <w:pPr>
        <w:spacing w:before="0" w:after="0"/>
        <w:jc w:val="center"/>
        <w:rPr>
          <w:rFonts w:cs="Calibri"/>
          <w:szCs w:val="22"/>
        </w:rPr>
      </w:pPr>
      <w:r>
        <w:rPr>
          <w:rFonts w:cs="Calibri"/>
          <w:szCs w:val="22"/>
        </w:rPr>
        <w:t>Place Beauvau – immeuble Lumière</w:t>
      </w:r>
    </w:p>
    <w:p w:rsidR="002C06B7" w:rsidRDefault="00C33788">
      <w:pPr>
        <w:spacing w:before="0" w:after="0"/>
        <w:jc w:val="center"/>
        <w:rPr>
          <w:rFonts w:cs="Calibri"/>
          <w:szCs w:val="22"/>
        </w:rPr>
      </w:pPr>
      <w:r>
        <w:rPr>
          <w:rFonts w:cs="Calibri"/>
          <w:szCs w:val="22"/>
        </w:rPr>
        <w:t>75800 – Paris cedex 08</w:t>
      </w:r>
    </w:p>
    <w:p w:rsidR="002C06B7" w:rsidRDefault="002C06B7">
      <w:pPr>
        <w:pStyle w:val="2Listepoints"/>
        <w:numPr>
          <w:ilvl w:val="0"/>
          <w:numId w:val="0"/>
        </w:numPr>
        <w:ind w:left="720" w:hanging="360"/>
        <w:rPr>
          <w:strike/>
          <w:color w:val="FF0000"/>
          <w:lang w:eastAsia="en-US"/>
        </w:rPr>
      </w:pPr>
    </w:p>
    <w:p w:rsidR="002C06B7" w:rsidRDefault="00C33788">
      <w:pPr>
        <w:pBdr>
          <w:top w:val="single" w:sz="4" w:space="1" w:color="000000"/>
          <w:left w:val="single" w:sz="4" w:space="4" w:color="000000"/>
          <w:bottom w:val="single" w:sz="4" w:space="1" w:color="000000"/>
          <w:right w:val="single" w:sz="4" w:space="4" w:color="000000"/>
        </w:pBdr>
        <w:shd w:val="clear" w:color="auto" w:fill="D9D9D9" w:themeFill="background1" w:themeFillShade="D9"/>
        <w:rPr>
          <w:szCs w:val="22"/>
        </w:rPr>
      </w:pPr>
      <w:r>
        <w:rPr>
          <w:szCs w:val="22"/>
        </w:rPr>
        <w:t>En raison de la nécessité de s’assurer de la présence sur site des personnes chargées de la réception des plis, le candidat qui souhaite procéder au dépôt physique d’une copie de sauvegarde doit convenir d’un rendez-vous avec le pouvoir adjudicateur via la PLACE.</w:t>
      </w:r>
    </w:p>
    <w:p w:rsidR="002C06B7" w:rsidRDefault="00C33788">
      <w:pPr>
        <w:rPr>
          <w:szCs w:val="22"/>
        </w:rPr>
      </w:pPr>
      <w:r>
        <w:rPr>
          <w:szCs w:val="22"/>
        </w:rPr>
        <w:t>La copie de sauvegarde doit être placée dans un pli scellé comportant la mention lisible « </w:t>
      </w:r>
      <w:r>
        <w:rPr>
          <w:i/>
          <w:szCs w:val="22"/>
        </w:rPr>
        <w:t>copie de sauvegarde</w:t>
      </w:r>
      <w:r>
        <w:rPr>
          <w:szCs w:val="22"/>
        </w:rPr>
        <w:t xml:space="preserve"> ».</w:t>
      </w:r>
    </w:p>
    <w:p w:rsidR="002C06B7" w:rsidRDefault="00C33788">
      <w:pPr>
        <w:rPr>
          <w:szCs w:val="22"/>
        </w:rPr>
      </w:pPr>
      <w:r>
        <w:rPr>
          <w:szCs w:val="22"/>
        </w:rPr>
        <w:t>Elle n’est ouverte que dans les cas suivants :</w:t>
      </w:r>
    </w:p>
    <w:p w:rsidR="002C06B7" w:rsidRDefault="00C33788">
      <w:pPr>
        <w:pStyle w:val="2Listepoints"/>
        <w:rPr>
          <w:lang w:eastAsia="en-US"/>
        </w:rPr>
      </w:pPr>
      <w:r>
        <w:rPr>
          <w:lang w:eastAsia="en-US"/>
        </w:rPr>
        <w:t>Lorsqu’un programme informatique malveillant est détecté dans les candidatures ou les offres transmises par voie électronique. La trace de cette malveillance est conservée ;</w:t>
      </w:r>
    </w:p>
    <w:p w:rsidR="002C06B7" w:rsidRDefault="00C33788">
      <w:pPr>
        <w:pStyle w:val="2Listepoints"/>
        <w:rPr>
          <w:lang w:eastAsia="en-US"/>
        </w:rPr>
      </w:pPr>
      <w:r>
        <w:t>Lorsqu’une candidature ou une offre électronique est reçue de façon incomplète, hors délais ou n'a pu être ouverte, sous réserve que la transmission de la candidature ou de l'offre électronique ait commencé avant la clôture de la remise des candidatures ou des offres.</w:t>
      </w:r>
    </w:p>
    <w:p w:rsidR="002C06B7" w:rsidRDefault="00C33788">
      <w:pPr>
        <w:rPr>
          <w:szCs w:val="22"/>
        </w:rPr>
      </w:pPr>
      <w:r>
        <w:rPr>
          <w:szCs w:val="22"/>
        </w:rPr>
        <w:t>Lorsqu'un programme informatique malveillant est détecté dans la copie de sauvegarde, celle-ci est écartée par le pouvoir adjudicateur.</w:t>
      </w:r>
    </w:p>
    <w:p w:rsidR="002C06B7" w:rsidRDefault="00C33788">
      <w:pPr>
        <w:rPr>
          <w:szCs w:val="22"/>
        </w:rPr>
      </w:pPr>
      <w:r>
        <w:rPr>
          <w:szCs w:val="22"/>
        </w:rPr>
        <w:t>Si le pli n’est pas ouvert ou a été écarté pour détection de programme malveillant dans la copie de sauvegarde, il est détruit à l’issue de la procédure.</w:t>
      </w:r>
    </w:p>
    <w:p w:rsidR="002C06B7" w:rsidRDefault="00C33788">
      <w:pPr>
        <w:pStyle w:val="Titre1"/>
        <w:numPr>
          <w:ilvl w:val="0"/>
          <w:numId w:val="0"/>
        </w:numPr>
      </w:pPr>
      <w:bookmarkStart w:id="172" w:name="_Toc464652759"/>
      <w:bookmarkStart w:id="173" w:name="_Toc198742666"/>
      <w:bookmarkStart w:id="174" w:name="_Toc202861600"/>
      <w:r>
        <w:lastRenderedPageBreak/>
        <w:t>ANNEXE II – Modalités de signature electronique</w:t>
      </w:r>
      <w:bookmarkEnd w:id="172"/>
      <w:bookmarkEnd w:id="173"/>
      <w:bookmarkEnd w:id="174"/>
    </w:p>
    <w:p w:rsidR="002C06B7" w:rsidRDefault="00C33788">
      <w:pPr>
        <w:pStyle w:val="Titre2"/>
        <w:numPr>
          <w:ilvl w:val="0"/>
          <w:numId w:val="0"/>
        </w:numPr>
      </w:pPr>
      <w:bookmarkStart w:id="175" w:name="_Toc463878287"/>
      <w:bookmarkStart w:id="176" w:name="_Toc464652760"/>
      <w:bookmarkStart w:id="177" w:name="_Toc198742667"/>
      <w:bookmarkStart w:id="178" w:name="_Toc202861601"/>
      <w:r>
        <w:t xml:space="preserve">A. </w:t>
      </w:r>
      <w:bookmarkEnd w:id="175"/>
      <w:r>
        <w:t>Généralités</w:t>
      </w:r>
      <w:bookmarkEnd w:id="176"/>
      <w:bookmarkEnd w:id="177"/>
      <w:bookmarkEnd w:id="178"/>
      <w:r>
        <w:t xml:space="preserve"> </w:t>
      </w:r>
    </w:p>
    <w:p w:rsidR="002C06B7" w:rsidRDefault="00C33788">
      <w:pPr>
        <w:pBdr>
          <w:top w:val="single" w:sz="4" w:space="4" w:color="000000"/>
          <w:left w:val="single" w:sz="4" w:space="2" w:color="000000"/>
          <w:bottom w:val="single" w:sz="4" w:space="4" w:color="000000"/>
          <w:right w:val="single" w:sz="4" w:space="4" w:color="000000"/>
        </w:pBdr>
        <w:shd w:val="clear" w:color="auto" w:fill="CCCCCC"/>
        <w:rPr>
          <w:b/>
          <w:szCs w:val="22"/>
        </w:rPr>
      </w:pPr>
      <w:r>
        <w:rPr>
          <w:szCs w:val="22"/>
        </w:rPr>
        <w:t xml:space="preserve">Un zip signé ne vaut pas signature des documents qu’il contient. En cas de fichier zippé, </w:t>
      </w:r>
      <w:r>
        <w:rPr>
          <w:b/>
          <w:bCs/>
          <w:szCs w:val="22"/>
        </w:rPr>
        <w:t>chaque document pour lequel une signature est requise doit être signé séparément.</w:t>
      </w:r>
      <w:r>
        <w:rPr>
          <w:b/>
          <w:szCs w:val="22"/>
        </w:rPr>
        <w:t xml:space="preserve"> </w:t>
      </w:r>
    </w:p>
    <w:p w:rsidR="002C06B7" w:rsidRDefault="00C33788">
      <w:pPr>
        <w:pBdr>
          <w:top w:val="single" w:sz="4" w:space="4" w:color="000000"/>
          <w:left w:val="single" w:sz="4" w:space="2" w:color="000000"/>
          <w:bottom w:val="single" w:sz="4" w:space="4" w:color="000000"/>
          <w:right w:val="single" w:sz="4" w:space="4" w:color="000000"/>
        </w:pBdr>
        <w:shd w:val="clear" w:color="auto" w:fill="CCCCCC"/>
        <w:rPr>
          <w:szCs w:val="22"/>
        </w:rPr>
      </w:pPr>
      <w:r>
        <w:rPr>
          <w:szCs w:val="22"/>
        </w:rPr>
        <w:t>Une signature manuscrite scannée n’a pas d’autre valeur que celle d’une copie et ne peut pas remplacer la signature électronique.</w:t>
      </w:r>
    </w:p>
    <w:p w:rsidR="002C06B7" w:rsidRDefault="00C33788">
      <w:pPr>
        <w:rPr>
          <w:szCs w:val="22"/>
        </w:rPr>
      </w:pPr>
      <w:r>
        <w:rPr>
          <w:szCs w:val="22"/>
        </w:rPr>
        <w:t>Par application de l’arrêté du 22 mars 2019 relatif à la signature électronique des contrats de la commande publique, le candidat doit respecter les conditions relatives :</w:t>
      </w:r>
    </w:p>
    <w:p w:rsidR="002C06B7" w:rsidRDefault="00C33788">
      <w:pPr>
        <w:pStyle w:val="2Listepoints"/>
        <w:rPr>
          <w:lang w:eastAsia="en-US"/>
        </w:rPr>
      </w:pPr>
      <w:r>
        <w:rPr>
          <w:lang w:eastAsia="en-US"/>
        </w:rPr>
        <w:t>Au certificat de signature du signataire ;</w:t>
      </w:r>
    </w:p>
    <w:p w:rsidR="002C06B7" w:rsidRDefault="00C33788">
      <w:pPr>
        <w:pStyle w:val="2Listepoints"/>
        <w:rPr>
          <w:lang w:eastAsia="en-US"/>
        </w:rPr>
      </w:pPr>
      <w:r>
        <w:rPr>
          <w:lang w:eastAsia="en-US"/>
        </w:rPr>
        <w:t>au dispositif de création de signature électronique utilisé (logiciel, service en ligne, parapheur le cas échéant), devant produire des jetons de signature</w:t>
      </w:r>
      <w:r>
        <w:rPr>
          <w:rStyle w:val="Appelnotedebasdep"/>
          <w:lang w:eastAsia="en-US"/>
        </w:rPr>
        <w:footnoteReference w:id="3"/>
      </w:r>
      <w:r>
        <w:rPr>
          <w:lang w:eastAsia="en-US"/>
        </w:rPr>
        <w:t xml:space="preserve"> conformes aux formats réglementaires dans l’un des trois formats acceptés.</w:t>
      </w:r>
    </w:p>
    <w:p w:rsidR="002C06B7" w:rsidRDefault="00C33788">
      <w:pPr>
        <w:rPr>
          <w:szCs w:val="22"/>
        </w:rPr>
      </w:pPr>
      <w:r>
        <w:rPr>
          <w:szCs w:val="22"/>
          <w:lang w:eastAsia="en-US"/>
        </w:rPr>
        <w:t xml:space="preserve">Le candidat doit utiliser une </w:t>
      </w:r>
      <w:r>
        <w:rPr>
          <w:b/>
          <w:szCs w:val="22"/>
          <w:lang w:eastAsia="en-US"/>
        </w:rPr>
        <w:t>signature électronique avancée</w:t>
      </w:r>
      <w:r>
        <w:rPr>
          <w:szCs w:val="22"/>
          <w:lang w:eastAsia="en-US"/>
        </w:rPr>
        <w:t xml:space="preserve"> reposant sur un </w:t>
      </w:r>
      <w:r>
        <w:rPr>
          <w:b/>
          <w:szCs w:val="22"/>
          <w:lang w:eastAsia="en-US"/>
        </w:rPr>
        <w:t>certificat qualifié</w:t>
      </w:r>
      <w:r>
        <w:rPr>
          <w:szCs w:val="22"/>
          <w:lang w:eastAsia="en-US"/>
        </w:rPr>
        <w:t xml:space="preserve"> au sens </w:t>
      </w:r>
      <w:r>
        <w:rPr>
          <w:szCs w:val="22"/>
        </w:rPr>
        <w:t>du règlement n° 910/2014 du Parlement européen et du Conseil du 23 juillet 2014 sur l'identification électronique et les services de confiance pour les transactions électroniques au sein du marché intérieur (</w:t>
      </w:r>
      <w:proofErr w:type="spellStart"/>
      <w:r>
        <w:rPr>
          <w:szCs w:val="22"/>
        </w:rPr>
        <w:t>eIDAS</w:t>
      </w:r>
      <w:proofErr w:type="spellEnd"/>
      <w:r>
        <w:rPr>
          <w:szCs w:val="22"/>
        </w:rPr>
        <w:t>).</w:t>
      </w:r>
    </w:p>
    <w:p w:rsidR="002C06B7" w:rsidRDefault="00C33788">
      <w:pPr>
        <w:rPr>
          <w:szCs w:val="22"/>
          <w:lang w:eastAsia="en-US"/>
        </w:rPr>
      </w:pPr>
      <w:r>
        <w:rPr>
          <w:szCs w:val="22"/>
        </w:rPr>
        <w:t xml:space="preserve">Conformément à l’article 10 de l’arrêté du 22 mars 2019 précité, </w:t>
      </w:r>
      <w:r>
        <w:rPr>
          <w:b/>
          <w:szCs w:val="22"/>
        </w:rPr>
        <w:t>les certificats qualifiés de signature électronique délivrés en application de l'arrêté du 15 juin 2012 relatif à la signature électronique dans les marchés publics demeurent régis par ses dispositions jusqu'à leur expiration</w:t>
      </w:r>
      <w:r>
        <w:rPr>
          <w:szCs w:val="22"/>
        </w:rPr>
        <w:t>.</w:t>
      </w:r>
    </w:p>
    <w:p w:rsidR="002C06B7" w:rsidRDefault="00C33788">
      <w:pPr>
        <w:pStyle w:val="Titre2"/>
        <w:numPr>
          <w:ilvl w:val="0"/>
          <w:numId w:val="0"/>
        </w:numPr>
      </w:pPr>
      <w:bookmarkStart w:id="179" w:name="_Toc463878288"/>
      <w:bookmarkStart w:id="180" w:name="_Toc464652761"/>
      <w:bookmarkStart w:id="181" w:name="_Toc198742668"/>
      <w:bookmarkStart w:id="182" w:name="_Toc202861602"/>
      <w:r>
        <w:t>B. Conditions relatives aux certificats de signature électronique</w:t>
      </w:r>
      <w:bookmarkEnd w:id="179"/>
      <w:bookmarkEnd w:id="180"/>
      <w:bookmarkEnd w:id="181"/>
      <w:bookmarkEnd w:id="182"/>
    </w:p>
    <w:p w:rsidR="002C06B7" w:rsidRDefault="00C33788">
      <w:pPr>
        <w:rPr>
          <w:szCs w:val="22"/>
        </w:rPr>
      </w:pPr>
      <w:r>
        <w:rPr>
          <w:szCs w:val="22"/>
        </w:rPr>
        <w:t>Le certificat de signature électronique du signataire respecte au moins le niveau de sécurité</w:t>
      </w:r>
      <w:r>
        <w:rPr>
          <w:b/>
          <w:szCs w:val="22"/>
        </w:rPr>
        <w:t xml:space="preserve"> </w:t>
      </w:r>
      <w:r>
        <w:rPr>
          <w:szCs w:val="22"/>
        </w:rPr>
        <w:t>préconisé.</w:t>
      </w:r>
    </w:p>
    <w:p w:rsidR="002C06B7" w:rsidRDefault="00C33788">
      <w:pPr>
        <w:numPr>
          <w:ilvl w:val="0"/>
          <w:numId w:val="28"/>
        </w:numPr>
        <w:rPr>
          <w:b/>
          <w:szCs w:val="22"/>
          <w:u w:val="single"/>
        </w:rPr>
      </w:pPr>
      <w:bookmarkStart w:id="183" w:name="_Toc464036572"/>
      <w:bookmarkStart w:id="184" w:name="_Toc464051666"/>
      <w:r>
        <w:rPr>
          <w:b/>
          <w:szCs w:val="22"/>
          <w:u w:val="single"/>
        </w:rPr>
        <w:t xml:space="preserve">1er cas : le certificat est </w:t>
      </w:r>
      <w:bookmarkEnd w:id="183"/>
      <w:bookmarkEnd w:id="184"/>
      <w:r>
        <w:rPr>
          <w:b/>
          <w:szCs w:val="22"/>
          <w:u w:val="single"/>
        </w:rPr>
        <w:t>délivré par un prestataire de service de confiance qualifié</w:t>
      </w:r>
    </w:p>
    <w:p w:rsidR="002C06B7" w:rsidRDefault="00C33788">
      <w:pPr>
        <w:rPr>
          <w:szCs w:val="22"/>
        </w:rPr>
      </w:pPr>
      <w:r>
        <w:rPr>
          <w:szCs w:val="22"/>
        </w:rPr>
        <w:t>Le certificat de signature est délivré par un prestataire de service de confiance qualifié au sens du règlement européen du 23 juillet 2014 précité.</w:t>
      </w:r>
    </w:p>
    <w:p w:rsidR="002C06B7" w:rsidRDefault="00C33788">
      <w:pPr>
        <w:rPr>
          <w:szCs w:val="22"/>
        </w:rPr>
      </w:pPr>
      <w:r>
        <w:rPr>
          <w:szCs w:val="22"/>
        </w:rPr>
        <w:t>Les prestataires qualifiés sont mentionnés :</w:t>
      </w:r>
    </w:p>
    <w:p w:rsidR="002C06B7" w:rsidRDefault="00C33788">
      <w:pPr>
        <w:pStyle w:val="2Listetirets"/>
        <w:spacing w:after="0"/>
      </w:pPr>
      <w:r>
        <w:t xml:space="preserve">Dans la liste de confiance suivante : </w:t>
      </w:r>
    </w:p>
    <w:p w:rsidR="002C06B7" w:rsidRDefault="00793E48">
      <w:pPr>
        <w:rPr>
          <w:szCs w:val="22"/>
        </w:rPr>
      </w:pPr>
      <w:hyperlink r:id="rId26" w:tooltip="https://www.ssi.gouv.fr/administration/visa-de-securite/visas-de-securite-le-catalogue/" w:history="1">
        <w:r w:rsidR="00C33788">
          <w:rPr>
            <w:rStyle w:val="Lienhypertexte"/>
            <w:szCs w:val="22"/>
          </w:rPr>
          <w:t>https://www.ssi.gouv.fr/administration/visa-de-securite/visas-de-securite-le-catalogue/</w:t>
        </w:r>
      </w:hyperlink>
    </w:p>
    <w:p w:rsidR="002C06B7" w:rsidRDefault="00C33788">
      <w:pPr>
        <w:pStyle w:val="2Listetirets"/>
        <w:spacing w:before="120"/>
      </w:pPr>
      <w:r>
        <w:t xml:space="preserve">Dans la liste de confiance établie par la Commission européenne. </w:t>
      </w:r>
    </w:p>
    <w:p w:rsidR="002C06B7" w:rsidRDefault="002C06B7">
      <w:pPr>
        <w:spacing w:before="0"/>
        <w:ind w:left="425"/>
        <w:rPr>
          <w:i/>
          <w:szCs w:val="22"/>
          <w:u w:val="single"/>
        </w:rPr>
      </w:pPr>
    </w:p>
    <w:p w:rsidR="002C06B7" w:rsidRDefault="00C33788">
      <w:pPr>
        <w:pBdr>
          <w:top w:val="single" w:sz="4" w:space="4" w:color="000000"/>
          <w:left w:val="single" w:sz="4" w:space="4" w:color="000000"/>
          <w:bottom w:val="single" w:sz="4" w:space="4" w:color="000000"/>
          <w:right w:val="single" w:sz="4" w:space="4" w:color="000000"/>
        </w:pBdr>
        <w:shd w:val="clear" w:color="auto" w:fill="CCCCCC"/>
        <w:rPr>
          <w:rStyle w:val="lev"/>
          <w:b w:val="0"/>
          <w:bCs w:val="0"/>
          <w:szCs w:val="22"/>
        </w:rPr>
      </w:pPr>
      <w:r>
        <w:rPr>
          <w:szCs w:val="22"/>
        </w:rPr>
        <w:t>Dans ce cas, le candidat n'a aucun justificatif à fournir sur le certificat de signature utilisé pour signer sa réponse.</w:t>
      </w:r>
    </w:p>
    <w:p w:rsidR="002C06B7" w:rsidRDefault="00C33788">
      <w:pPr>
        <w:numPr>
          <w:ilvl w:val="0"/>
          <w:numId w:val="28"/>
        </w:numPr>
        <w:rPr>
          <w:b/>
          <w:szCs w:val="22"/>
          <w:u w:val="single"/>
        </w:rPr>
      </w:pPr>
      <w:bookmarkStart w:id="185" w:name="_Toc464036573"/>
      <w:bookmarkStart w:id="186" w:name="_Toc464051667"/>
      <w:r>
        <w:rPr>
          <w:b/>
          <w:szCs w:val="22"/>
          <w:u w:val="single"/>
        </w:rPr>
        <w:br w:type="page" w:clear="all"/>
      </w:r>
      <w:r>
        <w:rPr>
          <w:b/>
          <w:szCs w:val="22"/>
          <w:u w:val="single"/>
        </w:rPr>
        <w:lastRenderedPageBreak/>
        <w:t xml:space="preserve">2ème cas : le certificat n’est pas </w:t>
      </w:r>
      <w:bookmarkEnd w:id="185"/>
      <w:bookmarkEnd w:id="186"/>
      <w:r>
        <w:rPr>
          <w:b/>
          <w:szCs w:val="22"/>
          <w:u w:val="single"/>
        </w:rPr>
        <w:t xml:space="preserve">délivré par un prestataire qualifié </w:t>
      </w:r>
    </w:p>
    <w:p w:rsidR="002C06B7" w:rsidRDefault="00C33788">
      <w:pPr>
        <w:pStyle w:val="StylePremireligne063cm"/>
      </w:pPr>
      <w:r>
        <w:t>Sont autorisés tous les certificats délivrés par une autorité de certification, française ou étrangère, qui répondent aux exigences équivalentes à l’annexe I du règlement européen du 23 juillet 2014.</w:t>
      </w:r>
    </w:p>
    <w:p w:rsidR="002C06B7" w:rsidRDefault="00C33788">
      <w:pPr>
        <w:pBdr>
          <w:top w:val="single" w:sz="4" w:space="4" w:color="000000"/>
          <w:left w:val="single" w:sz="4" w:space="4" w:color="000000"/>
          <w:bottom w:val="single" w:sz="4" w:space="4" w:color="000000"/>
          <w:right w:val="single" w:sz="4" w:space="4" w:color="000000"/>
        </w:pBdr>
        <w:shd w:val="clear" w:color="auto" w:fill="CCCCCC"/>
        <w:rPr>
          <w:szCs w:val="22"/>
        </w:rPr>
      </w:pPr>
      <w:r>
        <w:rPr>
          <w:szCs w:val="22"/>
        </w:rPr>
        <w:t xml:space="preserve">Le candidat s’assure que le certificat qu’il utilise est au moins conforme au niveau de sécurité préconisé sur le profil d’acheteur, et donne tous les éléments nécessaires à la vérification de cette conformité par l’acheteur. </w:t>
      </w:r>
    </w:p>
    <w:p w:rsidR="002C06B7" w:rsidRDefault="002C06B7">
      <w:pPr>
        <w:pStyle w:val="2Centr"/>
      </w:pPr>
    </w:p>
    <w:p w:rsidR="002C06B7" w:rsidRDefault="00C33788">
      <w:pPr>
        <w:pStyle w:val="2Listeflches"/>
        <w:rPr>
          <w:b/>
        </w:rPr>
      </w:pPr>
      <w:r>
        <w:rPr>
          <w:b/>
        </w:rPr>
        <w:t>Justificatifs de conformité à produire</w:t>
      </w:r>
    </w:p>
    <w:p w:rsidR="002C06B7" w:rsidRDefault="00C33788">
      <w:pPr>
        <w:pStyle w:val="Corpsdetexte"/>
        <w:jc w:val="both"/>
      </w:pPr>
      <w:r>
        <w:t>Le signataire transmet gratuitement les informations suivantes lors du dépôt du document signé :</w:t>
      </w:r>
    </w:p>
    <w:p w:rsidR="002C06B7" w:rsidRDefault="00C33788">
      <w:pPr>
        <w:pStyle w:val="Corpsdetexte"/>
        <w:numPr>
          <w:ilvl w:val="0"/>
          <w:numId w:val="16"/>
        </w:numPr>
        <w:tabs>
          <w:tab w:val="clear" w:pos="360"/>
          <w:tab w:val="num" w:pos="1069"/>
        </w:tabs>
        <w:ind w:left="1069"/>
        <w:jc w:val="both"/>
      </w:pPr>
      <w:r>
        <w:t xml:space="preserve">La procédure permettant la vérification de la qualité et du niveau de sécurité du certificat de signature utilisé : preuve de la qualification de l'autorité de certification, la politique de certification, </w:t>
      </w:r>
      <w:r>
        <w:rPr>
          <w:i/>
        </w:rPr>
        <w:t>etc</w:t>
      </w:r>
      <w:r>
        <w:t>. ;</w:t>
      </w:r>
    </w:p>
    <w:p w:rsidR="002C06B7" w:rsidRDefault="00C33788">
      <w:pPr>
        <w:pStyle w:val="Corpsdetexte"/>
        <w:numPr>
          <w:ilvl w:val="0"/>
          <w:numId w:val="16"/>
        </w:numPr>
        <w:tabs>
          <w:tab w:val="clear" w:pos="360"/>
          <w:tab w:val="num" w:pos="1069"/>
        </w:tabs>
        <w:ind w:left="1069"/>
        <w:jc w:val="both"/>
      </w:pPr>
      <w:r>
        <w:t>Le candidat fournit notamment les outils techniques de vérification du certificat : chaîne de certification complète jusqu’à l’AC racine, adresse de téléchargement de la dernière mise à jour de la liste de révocation ;</w:t>
      </w:r>
    </w:p>
    <w:p w:rsidR="002C06B7" w:rsidRDefault="00C33788">
      <w:pPr>
        <w:pStyle w:val="Corpsdetexte"/>
        <w:numPr>
          <w:ilvl w:val="0"/>
          <w:numId w:val="16"/>
        </w:numPr>
        <w:tabs>
          <w:tab w:val="clear" w:pos="360"/>
          <w:tab w:val="num" w:pos="1069"/>
        </w:tabs>
        <w:ind w:left="1069"/>
        <w:jc w:val="both"/>
      </w:pPr>
      <w:r>
        <w:t xml:space="preserve">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 </w:t>
      </w:r>
    </w:p>
    <w:p w:rsidR="002C06B7" w:rsidRDefault="00C33788">
      <w:pPr>
        <w:pStyle w:val="Titre2"/>
        <w:numPr>
          <w:ilvl w:val="0"/>
          <w:numId w:val="0"/>
        </w:numPr>
      </w:pPr>
      <w:bookmarkStart w:id="187" w:name="_Toc463878289"/>
      <w:bookmarkStart w:id="188" w:name="_Toc464652762"/>
      <w:bookmarkStart w:id="189" w:name="_Toc198742669"/>
      <w:bookmarkStart w:id="190" w:name="_Toc202861603"/>
      <w:r>
        <w:t>C. Conditions relatives aux dispositifs de création de signature électronique utilisés pour signer les fichiers</w:t>
      </w:r>
      <w:bookmarkEnd w:id="187"/>
      <w:bookmarkEnd w:id="188"/>
      <w:bookmarkEnd w:id="189"/>
      <w:bookmarkEnd w:id="190"/>
    </w:p>
    <w:p w:rsidR="002C06B7" w:rsidRDefault="00C33788">
      <w:pPr>
        <w:rPr>
          <w:szCs w:val="22"/>
        </w:rPr>
      </w:pPr>
      <w:r>
        <w:rPr>
          <w:szCs w:val="22"/>
        </w:rPr>
        <w:t xml:space="preserve">Conformément à l’article 4 de </w:t>
      </w:r>
      <w:r>
        <w:rPr>
          <w:rFonts w:eastAsia="MS Mincho"/>
          <w:szCs w:val="22"/>
        </w:rPr>
        <w:t>l’arrêté du 22 mars 2019 précité</w:t>
      </w:r>
      <w:r>
        <w:rPr>
          <w:szCs w:val="22"/>
        </w:rPr>
        <w:t xml:space="preserve">, le candidat utilise le dispositif de création de signature électronique de son choix. </w:t>
      </w:r>
    </w:p>
    <w:p w:rsidR="002C06B7" w:rsidRDefault="00C33788">
      <w:pPr>
        <w:numPr>
          <w:ilvl w:val="0"/>
          <w:numId w:val="28"/>
        </w:numPr>
        <w:rPr>
          <w:b/>
          <w:szCs w:val="22"/>
          <w:u w:val="single"/>
        </w:rPr>
      </w:pPr>
      <w:bookmarkStart w:id="191" w:name="_Toc464036574"/>
      <w:bookmarkStart w:id="192" w:name="_Toc464051669"/>
      <w:r>
        <w:rPr>
          <w:b/>
          <w:szCs w:val="22"/>
          <w:u w:val="single"/>
        </w:rPr>
        <w:t>1er cas : utilisation de l’outil de signature de la PLACE</w:t>
      </w:r>
      <w:bookmarkEnd w:id="191"/>
      <w:bookmarkEnd w:id="192"/>
    </w:p>
    <w:p w:rsidR="002C06B7" w:rsidRDefault="00C33788">
      <w:pPr>
        <w:rPr>
          <w:bCs/>
          <w:szCs w:val="22"/>
        </w:rPr>
      </w:pPr>
      <w:r>
        <w:rPr>
          <w:bCs/>
          <w:szCs w:val="22"/>
        </w:rPr>
        <w:t xml:space="preserve">Dans ce cas, </w:t>
      </w:r>
      <w:r>
        <w:rPr>
          <w:szCs w:val="22"/>
        </w:rPr>
        <w:t>le soumissionnaire est dispensé de fournir tout mode d’emploi ou information.</w:t>
      </w:r>
    </w:p>
    <w:p w:rsidR="002C06B7" w:rsidRDefault="00C33788">
      <w:pPr>
        <w:numPr>
          <w:ilvl w:val="0"/>
          <w:numId w:val="28"/>
        </w:numPr>
        <w:rPr>
          <w:b/>
          <w:szCs w:val="22"/>
          <w:u w:val="single"/>
        </w:rPr>
      </w:pPr>
      <w:bookmarkStart w:id="193" w:name="_Toc464036575"/>
      <w:bookmarkStart w:id="194" w:name="_Toc464051670"/>
      <w:r>
        <w:rPr>
          <w:b/>
          <w:szCs w:val="22"/>
          <w:u w:val="single"/>
        </w:rPr>
        <w:t>2ème cas : utilisation d’un autre outil de signature que celui proposé sur la PLACE</w:t>
      </w:r>
      <w:bookmarkEnd w:id="193"/>
      <w:bookmarkEnd w:id="194"/>
    </w:p>
    <w:p w:rsidR="002C06B7" w:rsidRDefault="00C33788">
      <w:pPr>
        <w:rPr>
          <w:bCs/>
          <w:szCs w:val="22"/>
        </w:rPr>
      </w:pPr>
      <w:r>
        <w:rPr>
          <w:bCs/>
          <w:szCs w:val="22"/>
        </w:rPr>
        <w:t xml:space="preserve">Dans ce cas, </w:t>
      </w:r>
      <w:r>
        <w:rPr>
          <w:szCs w:val="22"/>
        </w:rPr>
        <w:t>le soumissionnaire doit respecter les deux obligations suivantes</w:t>
      </w:r>
      <w:r>
        <w:rPr>
          <w:bCs/>
          <w:szCs w:val="22"/>
        </w:rPr>
        <w:t> :</w:t>
      </w:r>
    </w:p>
    <w:p w:rsidR="002C06B7" w:rsidRDefault="00C33788">
      <w:pPr>
        <w:pStyle w:val="2Listeflches"/>
      </w:pPr>
      <w:r>
        <w:t xml:space="preserve">Produire des formats de signature </w:t>
      </w:r>
      <w:proofErr w:type="spellStart"/>
      <w:r>
        <w:t>XAdES</w:t>
      </w:r>
      <w:proofErr w:type="spellEnd"/>
      <w:r>
        <w:t xml:space="preserve">, </w:t>
      </w:r>
      <w:proofErr w:type="spellStart"/>
      <w:r>
        <w:t>CAdES</w:t>
      </w:r>
      <w:proofErr w:type="spellEnd"/>
      <w:r>
        <w:t xml:space="preserve"> ou </w:t>
      </w:r>
      <w:proofErr w:type="spellStart"/>
      <w:r>
        <w:t>PadES</w:t>
      </w:r>
      <w:proofErr w:type="spellEnd"/>
      <w:r>
        <w:t> ;</w:t>
      </w:r>
    </w:p>
    <w:p w:rsidR="002C06B7" w:rsidRDefault="00C33788">
      <w:pPr>
        <w:pStyle w:val="2Listeflches"/>
      </w:pPr>
      <w:r>
        <w:t>Permettre la vérification en transmettant en parallèle les éléments nécessaires pour procéder à la vérification de la validité de la signature et de l’intégrité du document, et ce, gratuitement.</w:t>
      </w:r>
    </w:p>
    <w:p w:rsidR="002C06B7" w:rsidRDefault="00C33788">
      <w:pPr>
        <w:pStyle w:val="Corpsdetexte"/>
        <w:shd w:val="clear" w:color="auto" w:fill="FFFFFF"/>
        <w:ind w:left="709"/>
        <w:jc w:val="both"/>
        <w:rPr>
          <w:bCs/>
        </w:rPr>
      </w:pPr>
      <w:r>
        <w:rPr>
          <w:bCs/>
        </w:rPr>
        <w:t>Dans ce cas, le signataire indique la procédure permettant la vérification de la validité de la signature en fournissant notamment :</w:t>
      </w:r>
    </w:p>
    <w:p w:rsidR="002C06B7" w:rsidRDefault="00C33788">
      <w:pPr>
        <w:pStyle w:val="2Listepetitscarrs"/>
      </w:pPr>
      <w:r>
        <w:t>Le lien sur lequel l’outil de vérification de signature peut être récupéré, avec une notice d’explication et les prérequis d’installation (type d’exécutable, systèmes d’exploitation supportés, etc.). La fourniture d’une notice en français est souhaitée ;</w:t>
      </w:r>
    </w:p>
    <w:p w:rsidR="002C06B7" w:rsidRDefault="00C33788">
      <w:pPr>
        <w:pStyle w:val="2Listepetitscarrs"/>
      </w:pPr>
      <w:r>
        <w:lastRenderedPageBreak/>
        <w:t xml:space="preserve">Le mode de vérification alternatif en cas d’installation impossible pour l’acheteur (contact à joindre, support distant, support sur site, </w:t>
      </w:r>
      <w:r>
        <w:rPr>
          <w:i/>
        </w:rPr>
        <w:t>etc</w:t>
      </w:r>
      <w:r>
        <w:t xml:space="preserve">.). </w:t>
      </w:r>
    </w:p>
    <w:p w:rsidR="002C06B7" w:rsidRDefault="00C33788">
      <w:pPr>
        <w:pBdr>
          <w:top w:val="single" w:sz="4" w:space="4" w:color="000000"/>
          <w:left w:val="single" w:sz="4" w:space="4" w:color="000000"/>
          <w:bottom w:val="single" w:sz="4" w:space="4" w:color="000000"/>
          <w:right w:val="single" w:sz="4" w:space="4" w:color="000000"/>
        </w:pBdr>
        <w:shd w:val="clear" w:color="auto" w:fill="D9D9D9"/>
        <w:ind w:left="425" w:right="284"/>
        <w:rPr>
          <w:b/>
          <w:szCs w:val="22"/>
        </w:rPr>
      </w:pPr>
      <w:r>
        <w:rPr>
          <w:b/>
          <w:szCs w:val="22"/>
        </w:rPr>
        <w:t xml:space="preserve">Attention, si le dispositif de création de signature électronique utilisé ne comporte pas de fonctionnalité d’horodatage, le document doit être daté avant d’être signé électroniquement. </w:t>
      </w:r>
    </w:p>
    <w:sectPr w:rsidR="002C06B7">
      <w:footerReference w:type="default" r:id="rId27"/>
      <w:footerReference w:type="first" r:id="rId28"/>
      <w:footnotePr>
        <w:numRestart w:val="eachPage"/>
      </w:footnotePr>
      <w:type w:val="continuous"/>
      <w:pgSz w:w="11907" w:h="16840"/>
      <w:pgMar w:top="851" w:right="1134" w:bottom="680" w:left="1134" w:header="567" w:footer="720" w:gutter="0"/>
      <w:cols w:space="720"/>
      <w:titlePg/>
    </w:sectPr>
  </w:body>
</w:document>
</file>

<file path=word/commentsIds.xml><?xml version="1.0" encoding="utf-8"?>
<w16cid:commentsIds xmlns:mc="http://schemas.openxmlformats.org/markup-compatibility/2006" xmlns:w16cid="http://schemas.microsoft.com/office/word/2016/wordml/cid" mc:Ignorable="w16cid">
  <w16cid:commentId w16cid:paraId="00000002" w16cid:durableId="3CD9675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3788" w:rsidRDefault="00C33788">
      <w:r>
        <w:separator/>
      </w:r>
    </w:p>
  </w:endnote>
  <w:endnote w:type="continuationSeparator" w:id="0">
    <w:p w:rsidR="00C33788" w:rsidRDefault="00C337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Gras">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W1)">
    <w:altName w:val="Times New Roman"/>
    <w:charset w:val="00"/>
    <w:family w:val="roman"/>
    <w:pitch w:val="variable"/>
  </w:font>
  <w:font w:name="Times">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MS Mincho">
    <w:altName w:val="ＭＳ 明朝"/>
    <w:panose1 w:val="02020609040205080304"/>
    <w:charset w:val="80"/>
    <w:family w:val="modern"/>
    <w:pitch w:val="fixed"/>
    <w:sig w:usb0="A00002BF" w:usb1="68C7FCFB" w:usb2="00000010"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G Times (WN)">
    <w:altName w:val="Times New Roman"/>
    <w:charset w:val="00"/>
    <w:family w:val="auto"/>
    <w:pitch w:val="default"/>
  </w:font>
  <w:font w:name="Arial Unicode MS">
    <w:panose1 w:val="020B0604020202020204"/>
    <w:charset w:val="00"/>
    <w:family w:val="auto"/>
    <w:pitch w:val="variable"/>
  </w:font>
  <w:font w:name="Avenir Book">
    <w:altName w:val="Avenir Book"/>
    <w:charset w:val="00"/>
    <w:family w:val="auto"/>
    <w:pitch w:val="default"/>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3788" w:rsidRDefault="00C33788">
    <w:pPr>
      <w:pStyle w:val="Pieddepage"/>
      <w:jc w:val="right"/>
    </w:pPr>
  </w:p>
  <w:p w:rsidR="00C33788" w:rsidRDefault="00C33788">
    <w:pPr>
      <w:pStyle w:val="Pieddepage1"/>
      <w:jc w:val="center"/>
      <w:rPr>
        <w:rFonts w:ascii="Arial" w:hAnsi="Arial"/>
        <w:iCs/>
      </w:rPr>
    </w:pPr>
    <w:r>
      <w:rPr>
        <w:rFonts w:ascii="Arial" w:hAnsi="Arial"/>
        <w:iCs/>
      </w:rPr>
      <w:t>RC</w:t>
    </w:r>
    <w:r>
      <w:rPr>
        <w:rFonts w:ascii="Arial" w:hAnsi="Arial"/>
        <w:iCs/>
      </w:rPr>
      <w:tab/>
      <w:t>Panorama presse_PRA039544</w:t>
    </w:r>
    <w:r>
      <w:rPr>
        <w:rFonts w:ascii="Arial" w:hAnsi="Arial"/>
        <w:iCs/>
      </w:rPr>
      <w:tab/>
      <w:t xml:space="preserve">Page </w:t>
    </w:r>
    <w:r>
      <w:rPr>
        <w:rFonts w:ascii="Arial" w:hAnsi="Arial"/>
        <w:iCs/>
      </w:rPr>
      <w:fldChar w:fldCharType="begin"/>
    </w:r>
    <w:r>
      <w:rPr>
        <w:rFonts w:ascii="Arial" w:hAnsi="Arial"/>
        <w:iCs/>
      </w:rPr>
      <w:instrText xml:space="preserve"> PAGE </w:instrText>
    </w:r>
    <w:r>
      <w:rPr>
        <w:rFonts w:ascii="Arial" w:hAnsi="Arial"/>
        <w:iCs/>
      </w:rPr>
      <w:fldChar w:fldCharType="separate"/>
    </w:r>
    <w:r w:rsidR="00793E48">
      <w:rPr>
        <w:rFonts w:ascii="Arial" w:hAnsi="Arial"/>
        <w:iCs/>
        <w:noProof/>
      </w:rPr>
      <w:t>3</w:t>
    </w:r>
    <w:r>
      <w:rPr>
        <w:rFonts w:ascii="Arial" w:hAnsi="Arial"/>
        <w:iCs/>
      </w:rPr>
      <w:fldChar w:fldCharType="end"/>
    </w:r>
    <w:r>
      <w:rPr>
        <w:rFonts w:ascii="Arial" w:hAnsi="Arial"/>
        <w:iCs/>
      </w:rPr>
      <w:t xml:space="preserve"> sur </w:t>
    </w:r>
    <w:r>
      <w:rPr>
        <w:rFonts w:ascii="Arial" w:hAnsi="Arial"/>
        <w:iCs/>
      </w:rPr>
      <w:fldChar w:fldCharType="begin"/>
    </w:r>
    <w:r>
      <w:rPr>
        <w:rFonts w:ascii="Arial" w:hAnsi="Arial"/>
        <w:iCs/>
      </w:rPr>
      <w:instrText xml:space="preserve"> NUMPAGES </w:instrText>
    </w:r>
    <w:r>
      <w:rPr>
        <w:rFonts w:ascii="Arial" w:hAnsi="Arial"/>
        <w:iCs/>
      </w:rPr>
      <w:fldChar w:fldCharType="separate"/>
    </w:r>
    <w:r w:rsidR="00793E48">
      <w:rPr>
        <w:rFonts w:ascii="Arial" w:hAnsi="Arial"/>
        <w:iCs/>
        <w:noProof/>
      </w:rPr>
      <w:t>33</w:t>
    </w:r>
    <w:r>
      <w:rPr>
        <w:rFonts w:ascii="Arial" w:hAnsi="Arial"/>
        <w:i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3788" w:rsidRDefault="00C33788">
    <w:pPr>
      <w:pStyle w:val="Pieddepage1"/>
      <w:ind w:left="0"/>
      <w:rPr>
        <w:rStyle w:val="Numrodepage"/>
        <w:rFonts w:ascii="Arial" w:hAnsi="Arial"/>
        <w:iCs/>
      </w:rPr>
    </w:pPr>
    <w:r>
      <w:rPr>
        <w:rFonts w:ascii="Arial" w:hAnsi="Arial"/>
        <w:iCs/>
      </w:rPr>
      <w:t>RC</w:t>
    </w:r>
    <w:r>
      <w:rPr>
        <w:rFonts w:ascii="Arial" w:hAnsi="Arial"/>
        <w:iCs/>
      </w:rPr>
      <w:tab/>
      <w:t>Panorama de Presse PRA039544</w:t>
    </w:r>
    <w:r>
      <w:rPr>
        <w:rFonts w:ascii="Arial" w:hAnsi="Arial"/>
        <w:iCs/>
      </w:rPr>
      <w:tab/>
      <w:t xml:space="preserve">Page </w:t>
    </w:r>
    <w:r>
      <w:rPr>
        <w:rFonts w:ascii="Arial" w:hAnsi="Arial"/>
        <w:iCs/>
      </w:rPr>
      <w:fldChar w:fldCharType="begin"/>
    </w:r>
    <w:r>
      <w:rPr>
        <w:rFonts w:ascii="Arial" w:hAnsi="Arial"/>
        <w:iCs/>
      </w:rPr>
      <w:instrText xml:space="preserve"> PAGE </w:instrText>
    </w:r>
    <w:r>
      <w:rPr>
        <w:rFonts w:ascii="Arial" w:hAnsi="Arial"/>
        <w:iCs/>
      </w:rPr>
      <w:fldChar w:fldCharType="separate"/>
    </w:r>
    <w:r w:rsidR="00793E48">
      <w:rPr>
        <w:rFonts w:ascii="Arial" w:hAnsi="Arial"/>
        <w:iCs/>
        <w:noProof/>
      </w:rPr>
      <w:t>1</w:t>
    </w:r>
    <w:r>
      <w:rPr>
        <w:rFonts w:ascii="Arial" w:hAnsi="Arial"/>
        <w:iCs/>
      </w:rPr>
      <w:fldChar w:fldCharType="end"/>
    </w:r>
    <w:r>
      <w:rPr>
        <w:rFonts w:ascii="Arial" w:hAnsi="Arial"/>
        <w:iCs/>
      </w:rPr>
      <w:t xml:space="preserve"> sur </w:t>
    </w:r>
    <w:r>
      <w:rPr>
        <w:rFonts w:ascii="Arial" w:hAnsi="Arial"/>
        <w:iCs/>
      </w:rPr>
      <w:fldChar w:fldCharType="begin"/>
    </w:r>
    <w:r>
      <w:rPr>
        <w:rFonts w:ascii="Arial" w:hAnsi="Arial"/>
        <w:iCs/>
      </w:rPr>
      <w:instrText xml:space="preserve"> NUMPAGES </w:instrText>
    </w:r>
    <w:r>
      <w:rPr>
        <w:rFonts w:ascii="Arial" w:hAnsi="Arial"/>
        <w:iCs/>
      </w:rPr>
      <w:fldChar w:fldCharType="separate"/>
    </w:r>
    <w:r w:rsidR="00793E48">
      <w:rPr>
        <w:rFonts w:ascii="Arial" w:hAnsi="Arial"/>
        <w:iCs/>
        <w:noProof/>
      </w:rPr>
      <w:t>33</w:t>
    </w:r>
    <w:r>
      <w:rPr>
        <w:rFonts w:ascii="Arial" w:hAnsi="Arial"/>
        <w:i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6116774"/>
      <w:docPartObj>
        <w:docPartGallery w:val="Page Numbers (Bottom of Page)"/>
        <w:docPartUnique/>
      </w:docPartObj>
    </w:sdtPr>
    <w:sdtEndPr/>
    <w:sdtContent>
      <w:p w:rsidR="00C33788" w:rsidRDefault="00C33788">
        <w:pPr>
          <w:pStyle w:val="Pieddepage"/>
          <w:jc w:val="right"/>
        </w:pPr>
        <w:r>
          <w:fldChar w:fldCharType="begin"/>
        </w:r>
        <w:r>
          <w:instrText>PAGE   \* MERGEFORMAT</w:instrText>
        </w:r>
        <w:r>
          <w:fldChar w:fldCharType="separate"/>
        </w:r>
        <w:r w:rsidR="00793E48">
          <w:rPr>
            <w:noProof/>
          </w:rPr>
          <w:t>9</w:t>
        </w:r>
        <w: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1122020"/>
      <w:docPartObj>
        <w:docPartGallery w:val="Page Numbers (Bottom of Page)"/>
        <w:docPartUnique/>
      </w:docPartObj>
    </w:sdtPr>
    <w:sdtEndPr/>
    <w:sdtContent>
      <w:p w:rsidR="00C33788" w:rsidRDefault="00C33788">
        <w:pPr>
          <w:pStyle w:val="Pieddepage"/>
          <w:jc w:val="right"/>
        </w:pPr>
        <w:r>
          <w:fldChar w:fldCharType="begin"/>
        </w:r>
        <w:r>
          <w:instrText>PAGE   \* MERGEFORMAT</w:instrText>
        </w:r>
        <w:r>
          <w:fldChar w:fldCharType="separate"/>
        </w:r>
        <w:r w:rsidR="00793E48">
          <w:rPr>
            <w:noProof/>
          </w:rPr>
          <w:t>4</w:t>
        </w:r>
        <w:r>
          <w:fldChar w:fldCharType="end"/>
        </w:r>
      </w:p>
    </w:sdtContent>
  </w:sdt>
  <w:p w:rsidR="00C33788" w:rsidRDefault="00C33788">
    <w:pPr>
      <w:pStyle w:val="Pieddepage"/>
      <w:pBdr>
        <w:top w:val="single" w:sz="4" w:space="1" w:color="000000"/>
      </w:pBdr>
      <w:tabs>
        <w:tab w:val="clear" w:pos="4536"/>
        <w:tab w:val="clear" w:pos="9072"/>
        <w:tab w:val="left" w:pos="-426"/>
        <w:tab w:val="left" w:pos="2552"/>
      </w:tabs>
      <w:ind w:right="-1"/>
      <w:rPr>
        <w:rStyle w:val="Numrodepage"/>
        <w:rFonts w:ascii="Marianne" w:hAnsi="Marianne"/>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3788" w:rsidRDefault="00C33788">
      <w:r>
        <w:separator/>
      </w:r>
    </w:p>
  </w:footnote>
  <w:footnote w:type="continuationSeparator" w:id="0">
    <w:p w:rsidR="00C33788" w:rsidRDefault="00C33788">
      <w:r>
        <w:continuationSeparator/>
      </w:r>
    </w:p>
  </w:footnote>
  <w:footnote w:id="1">
    <w:p w:rsidR="00C33788" w:rsidRDefault="00C33788">
      <w:pPr>
        <w:spacing w:before="60"/>
        <w:rPr>
          <w:sz w:val="18"/>
          <w:szCs w:val="18"/>
        </w:rPr>
      </w:pPr>
      <w:r>
        <w:rPr>
          <w:rStyle w:val="Appelnotedebasdep"/>
          <w:sz w:val="18"/>
          <w:szCs w:val="18"/>
        </w:rPr>
        <w:footnoteRef/>
      </w:r>
      <w:r>
        <w:rPr>
          <w:rStyle w:val="Appelnotedebasdep"/>
          <w:sz w:val="18"/>
          <w:szCs w:val="18"/>
          <w:vertAlign w:val="baseline"/>
        </w:rPr>
        <w:t xml:space="preserve"> Pour ce faire, le candidat se réfère au Guide d’utilisation de la plateforme des achats de l’Etat accessible à l’adresse internet suivante : </w:t>
      </w:r>
      <w:hyperlink r:id="rId1" w:tooltip="https://www.marches-publics.gouv.fr/?page=entreprise.EntrepriseGuide" w:history="1">
        <w:r>
          <w:rPr>
            <w:rStyle w:val="Lienhypertexte"/>
            <w:sz w:val="18"/>
            <w:szCs w:val="18"/>
          </w:rPr>
          <w:t>https://www.marches-publics.gouv.fr/?page=entreprise.EntrepriseGuide</w:t>
        </w:r>
      </w:hyperlink>
      <w:r>
        <w:rPr>
          <w:sz w:val="18"/>
          <w:szCs w:val="18"/>
        </w:rPr>
        <w:t>.</w:t>
      </w:r>
    </w:p>
    <w:p w:rsidR="00C33788" w:rsidRDefault="00C33788">
      <w:pPr>
        <w:spacing w:before="60"/>
        <w:rPr>
          <w:rStyle w:val="Appelnotedebasdep"/>
          <w:sz w:val="18"/>
          <w:szCs w:val="18"/>
          <w:vertAlign w:val="baseline"/>
        </w:rPr>
      </w:pPr>
    </w:p>
  </w:footnote>
  <w:footnote w:id="2">
    <w:p w:rsidR="00C33788" w:rsidRDefault="00C33788">
      <w:pPr>
        <w:spacing w:before="60"/>
        <w:rPr>
          <w:rFonts w:ascii="Calibri" w:hAnsi="Calibri" w:cs="Calibri"/>
          <w:sz w:val="26"/>
          <w:szCs w:val="26"/>
        </w:rPr>
      </w:pPr>
      <w:r>
        <w:rPr>
          <w:rStyle w:val="Appelnotedebasdep"/>
          <w:rFonts w:ascii="Calibri" w:hAnsi="Calibri" w:cs="Calibri"/>
          <w:sz w:val="26"/>
          <w:szCs w:val="26"/>
        </w:rPr>
        <w:footnoteRef/>
      </w:r>
      <w:r>
        <w:rPr>
          <w:rStyle w:val="Appelnotedebasdep"/>
          <w:rFonts w:ascii="Calibri" w:hAnsi="Calibri" w:cs="Calibri"/>
          <w:sz w:val="26"/>
          <w:szCs w:val="26"/>
        </w:rPr>
        <w:t xml:space="preserve"> Pour ce faire, le candidat se réfère au Guide d’utilisation de la plateforme des achats de l’Etat accessible à l’adresse internet suivante : </w:t>
      </w:r>
      <w:hyperlink r:id="rId2" w:tooltip="https://www.marches-publics.gouv.fr/?page=entreprise.EntrepriseGuide" w:history="1">
        <w:r>
          <w:rPr>
            <w:rStyle w:val="Lienhypertexte"/>
            <w:rFonts w:ascii="Calibri" w:hAnsi="Calibri" w:cs="Calibri"/>
            <w:sz w:val="26"/>
            <w:szCs w:val="26"/>
            <w:vertAlign w:val="superscript"/>
          </w:rPr>
          <w:t>https://www.marches-publics.gouv.fr/?page=entreprise.EntrepriseGuide</w:t>
        </w:r>
      </w:hyperlink>
      <w:r>
        <w:rPr>
          <w:rFonts w:ascii="Calibri" w:hAnsi="Calibri" w:cs="Calibri"/>
          <w:sz w:val="26"/>
          <w:szCs w:val="26"/>
          <w:vertAlign w:val="superscript"/>
        </w:rPr>
        <w:t>.</w:t>
      </w:r>
    </w:p>
    <w:p w:rsidR="00C33788" w:rsidRDefault="00C33788">
      <w:pPr>
        <w:spacing w:before="60"/>
        <w:rPr>
          <w:rStyle w:val="Appelnotedebasdep"/>
          <w:sz w:val="18"/>
          <w:szCs w:val="18"/>
        </w:rPr>
      </w:pPr>
    </w:p>
  </w:footnote>
  <w:footnote w:id="3">
    <w:p w:rsidR="00C33788" w:rsidRDefault="00C33788">
      <w:pPr>
        <w:pStyle w:val="Notedebasdepage"/>
      </w:pPr>
      <w:r>
        <w:rPr>
          <w:rStyle w:val="Appelnotedebasdep"/>
        </w:rPr>
        <w:footnoteRef/>
      </w:r>
      <w:r>
        <w:t xml:space="preserve"> </w:t>
      </w:r>
      <w:r>
        <w:rPr>
          <w:sz w:val="18"/>
          <w:szCs w:val="18"/>
        </w:rPr>
        <w:t>Le jeton d’horodatage peut être enveloppé dans le fichier d’origine ou bien apparaître sous la forme d’un fichier autonome (non enveloppé).</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3788" w:rsidRDefault="00C33788">
    <w:pPr>
      <w:pStyle w:val="En-tte"/>
      <w:jc w:val="center"/>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3788" w:rsidRDefault="00C33788">
    <w:pPr>
      <w:pStyle w:val="En-tte"/>
      <w:jc w:val="center"/>
      <w:rPr>
        <w:i w:val="0"/>
        <w:smallCaps/>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5276B"/>
    <w:multiLevelType w:val="multilevel"/>
    <w:tmpl w:val="DBF85EE2"/>
    <w:lvl w:ilvl="0">
      <w:start w:val="1"/>
      <w:numFmt w:val="bullet"/>
      <w:pStyle w:val="Listepuces4"/>
      <w:lvlText w:val=""/>
      <w:lvlJc w:val="left"/>
      <w:pPr>
        <w:tabs>
          <w:tab w:val="num" w:pos="1209"/>
        </w:tabs>
        <w:ind w:left="1209" w:hanging="360"/>
      </w:pPr>
      <w:rPr>
        <w:rFonts w:ascii="Symbol" w:hAnsi="Symbol" w:hint="default"/>
      </w:rPr>
    </w:lvl>
    <w:lvl w:ilvl="1">
      <w:numFmt w:val="bullet"/>
      <w:lvlText w:val="垪⽴Ïýý衴赲ㅸÏ !Ĵ쯐࿕쯤࿕⿨Ï쫓矚s í"/>
      <w:lvlJc w:val="left"/>
    </w:lvl>
    <w:lvl w:ilvl="2">
      <w:numFmt w:val="bullet"/>
      <w:lvlText w:val="垪⽴Ïýý衴赲ㅸÏ !Ĵ쯐࿕쯤࿕⿨Ï쫓矚s í"/>
      <w:lvlJc w:val="left"/>
    </w:lvl>
    <w:lvl w:ilvl="3">
      <w:numFmt w:val="bullet"/>
      <w:lvlText w:val="垪⽴Ïýý衴赲ㅸÏ !Ĵ쯐࿕쯤࿕⿨Ï쫓矚s í"/>
      <w:lvlJc w:val="left"/>
    </w:lvl>
    <w:lvl w:ilvl="4">
      <w:numFmt w:val="bullet"/>
      <w:lvlText w:val="垪⽴Ïýý衴赲ㅸÏ !Ĵ쯐࿕쯤࿕⿨Ï쫓矚s í"/>
      <w:lvlJc w:val="left"/>
    </w:lvl>
    <w:lvl w:ilvl="5">
      <w:numFmt w:val="bullet"/>
      <w:lvlText w:val="垪⽴Ïýý衴赲ㅸÏ !Ĵ쯐࿕쯤࿕⿨Ï쫓矚s í"/>
      <w:lvlJc w:val="left"/>
    </w:lvl>
    <w:lvl w:ilvl="6">
      <w:numFmt w:val="bullet"/>
      <w:lvlText w:val="垪⽴Ïýý衴赲ㅸÏ !Ĵ쯐࿕쯤࿕⿨Ï쫓矚s í"/>
      <w:lvlJc w:val="left"/>
    </w:lvl>
    <w:lvl w:ilvl="7">
      <w:numFmt w:val="bullet"/>
      <w:lvlText w:val="垪⽴Ïýý衴赲ㅸÏ !Ĵ쯐࿕쯤࿕⿨Ï쫓矚s í"/>
      <w:lvlJc w:val="left"/>
    </w:lvl>
    <w:lvl w:ilvl="8">
      <w:numFmt w:val="bullet"/>
      <w:lvlText w:val="垪⽴Ïýý衴赲ㅸÏ !Ĵ쯐࿕쯤࿕⿨Ï쫓矚s í"/>
      <w:lvlJc w:val="left"/>
    </w:lvl>
  </w:abstractNum>
  <w:abstractNum w:abstractNumId="1" w15:restartNumberingAfterBreak="0">
    <w:nsid w:val="02D711BF"/>
    <w:multiLevelType w:val="multilevel"/>
    <w:tmpl w:val="230CD076"/>
    <w:lvl w:ilvl="0">
      <w:start w:val="1"/>
      <w:numFmt w:val="none"/>
      <w:pStyle w:val="Annexe1"/>
      <w:lvlText w:val=""/>
      <w:lvlJc w:val="left"/>
      <w:pPr>
        <w:tabs>
          <w:tab w:val="num" w:pos="454"/>
        </w:tabs>
        <w:ind w:left="454" w:hanging="454"/>
      </w:pPr>
    </w:lvl>
    <w:lvl w:ilvl="1">
      <w:start w:val="1"/>
      <w:numFmt w:val="decimal"/>
      <w:pStyle w:val="Annexe2"/>
      <w:lvlText w:val="%1.%2"/>
      <w:lvlJc w:val="left"/>
      <w:pPr>
        <w:tabs>
          <w:tab w:val="num" w:pos="720"/>
        </w:tabs>
        <w:ind w:left="454" w:hanging="454"/>
      </w:pPr>
    </w:lvl>
    <w:lvl w:ilvl="2">
      <w:start w:val="1"/>
      <w:numFmt w:val="decimal"/>
      <w:pStyle w:val="Annexe3"/>
      <w:lvlText w:val="%1.%2.%3"/>
      <w:lvlJc w:val="left"/>
      <w:pPr>
        <w:tabs>
          <w:tab w:val="num" w:pos="907"/>
        </w:tabs>
        <w:ind w:left="907" w:hanging="907"/>
      </w:pPr>
    </w:lvl>
    <w:lvl w:ilvl="3">
      <w:start w:val="1"/>
      <w:numFmt w:val="decimal"/>
      <w:lvlText w:val="%1.%2.%3.%4"/>
      <w:lvlJc w:val="left"/>
      <w:pPr>
        <w:tabs>
          <w:tab w:val="num" w:pos="1440"/>
        </w:tabs>
        <w:ind w:left="864" w:hanging="864"/>
      </w:pPr>
    </w:lvl>
    <w:lvl w:ilvl="4">
      <w:start w:val="1"/>
      <w:numFmt w:val="decimal"/>
      <w:lvlText w:val="%1.%2.%3.%4.%5"/>
      <w:lvlJc w:val="left"/>
      <w:pPr>
        <w:tabs>
          <w:tab w:val="num" w:pos="1800"/>
        </w:tabs>
        <w:ind w:left="1008" w:hanging="1008"/>
      </w:pPr>
    </w:lvl>
    <w:lvl w:ilvl="5">
      <w:start w:val="1"/>
      <w:numFmt w:val="decimal"/>
      <w:lvlText w:val="%1%2.%3.%4.%5.%6"/>
      <w:lvlJc w:val="left"/>
      <w:pPr>
        <w:tabs>
          <w:tab w:val="num" w:pos="1800"/>
        </w:tabs>
        <w:ind w:left="1152" w:hanging="1152"/>
      </w:pPr>
    </w:lvl>
    <w:lvl w:ilvl="6">
      <w:start w:val="1"/>
      <w:numFmt w:val="decimal"/>
      <w:lvlText w:val="%1.%2.%3.%4.%5.%6.%7"/>
      <w:lvlJc w:val="left"/>
      <w:pPr>
        <w:tabs>
          <w:tab w:val="num" w:pos="2520"/>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40C6D41"/>
    <w:multiLevelType w:val="multilevel"/>
    <w:tmpl w:val="25E40CE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5A71948"/>
    <w:multiLevelType w:val="multilevel"/>
    <w:tmpl w:val="3806CFA8"/>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08C772D5"/>
    <w:multiLevelType w:val="multilevel"/>
    <w:tmpl w:val="46A4870A"/>
    <w:lvl w:ilvl="0">
      <w:start w:val="1"/>
      <w:numFmt w:val="bullet"/>
      <w:pStyle w:val="Listepuces3"/>
      <w:lvlText w:val=""/>
      <w:lvlJc w:val="left"/>
      <w:pPr>
        <w:tabs>
          <w:tab w:val="num" w:pos="360"/>
        </w:tabs>
        <w:ind w:left="360" w:hanging="360"/>
      </w:pPr>
      <w:rPr>
        <w:rFonts w:ascii="Wingdings" w:hAnsi="Wingdings" w:hint="default"/>
        <w:sz w:val="16"/>
      </w:rPr>
    </w:lvl>
    <w:lvl w:ilvl="1">
      <w:numFmt w:val="bullet"/>
      <w:lvlText w:val="垪⽴Ïýý衴赲ㅸÏ Κ²䲈࿖䲜࿖⿨Ï쫓矚X í"/>
      <w:lvlJc w:val="left"/>
    </w:lvl>
    <w:lvl w:ilvl="2">
      <w:numFmt w:val="bullet"/>
      <w:lvlText w:val="垪⽴Ïýý衴赲ㅸÏ Κ²䲈࿖䲜࿖⿨Ï쫓矚X í"/>
      <w:lvlJc w:val="left"/>
    </w:lvl>
    <w:lvl w:ilvl="3">
      <w:numFmt w:val="bullet"/>
      <w:lvlText w:val="垪⽴Ïýý衴赲ㅸÏ Κ²䲈࿖䲜࿖⿨Ï쫓矚X í"/>
      <w:lvlJc w:val="left"/>
    </w:lvl>
    <w:lvl w:ilvl="4">
      <w:numFmt w:val="bullet"/>
      <w:lvlText w:val="垪⽴Ïýý衴赲ㅸÏ Κ²䲈࿖䲜࿖⿨Ï쫓矚X í"/>
      <w:lvlJc w:val="left"/>
    </w:lvl>
    <w:lvl w:ilvl="5">
      <w:numFmt w:val="bullet"/>
      <w:lvlText w:val="垪⽴Ïýý衴赲ㅸÏ Κ²䲈࿖䲜࿖⿨Ï쫓矚X í"/>
      <w:lvlJc w:val="left"/>
    </w:lvl>
    <w:lvl w:ilvl="6">
      <w:numFmt w:val="bullet"/>
      <w:lvlText w:val="垪⽴Ïýý衴赲ㅸÏ Κ²䲈࿖䲜࿖⿨Ï쫓矚X í"/>
      <w:lvlJc w:val="left"/>
    </w:lvl>
    <w:lvl w:ilvl="7">
      <w:numFmt w:val="bullet"/>
      <w:lvlText w:val="垪⽴Ïýý衴赲ㅸÏ Κ²䲈࿖䲜࿖⿨Ï쫓矚X í"/>
      <w:lvlJc w:val="left"/>
    </w:lvl>
    <w:lvl w:ilvl="8">
      <w:numFmt w:val="bullet"/>
      <w:lvlText w:val="垪⽴Ïýý衴赲ㅸÏ Κ²䲈࿖䲜࿖⿨Ï쫓矚X í"/>
      <w:lvlJc w:val="left"/>
    </w:lvl>
  </w:abstractNum>
  <w:abstractNum w:abstractNumId="5" w15:restartNumberingAfterBreak="0">
    <w:nsid w:val="13D8736B"/>
    <w:multiLevelType w:val="multilevel"/>
    <w:tmpl w:val="1C1017EA"/>
    <w:lvl w:ilvl="0">
      <w:start w:val="1"/>
      <w:numFmt w:val="lowerLetter"/>
      <w:lvlText w:val="%1."/>
      <w:lvlJc w:val="left"/>
      <w:pPr>
        <w:ind w:left="1440" w:hanging="360"/>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6" w15:restartNumberingAfterBreak="0">
    <w:nsid w:val="1597759F"/>
    <w:multiLevelType w:val="multilevel"/>
    <w:tmpl w:val="4E90598E"/>
    <w:lvl w:ilvl="0">
      <w:start w:val="1"/>
      <w:numFmt w:val="bullet"/>
      <w:lvlText w:val=""/>
      <w:lvlJc w:val="left"/>
      <w:pPr>
        <w:tabs>
          <w:tab w:val="num" w:pos="360"/>
        </w:tabs>
        <w:ind w:left="360" w:hanging="360"/>
      </w:pPr>
      <w:rPr>
        <w:rFonts w:ascii="Wingdings" w:hAnsi="Wingdings" w:hint="default"/>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7" w15:restartNumberingAfterBreak="0">
    <w:nsid w:val="176F2A97"/>
    <w:multiLevelType w:val="multilevel"/>
    <w:tmpl w:val="4D4E3C8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7AC667E"/>
    <w:multiLevelType w:val="multilevel"/>
    <w:tmpl w:val="5B38004C"/>
    <w:lvl w:ilvl="0">
      <w:start w:val="1"/>
      <w:numFmt w:val="upperRoman"/>
      <w:pStyle w:val="Titre1"/>
      <w:suff w:val="space"/>
      <w:lvlText w:val="Article %1."/>
      <w:lvlJc w:val="left"/>
      <w:pPr>
        <w:ind w:left="710" w:firstLine="0"/>
      </w:pPr>
      <w:rPr>
        <w:rFonts w:ascii="Arial Gras" w:hAnsi="Arial Gras"/>
        <w:b/>
        <w:bCs w:val="0"/>
        <w:i w:val="0"/>
        <w:iCs w:val="0"/>
        <w:caps/>
        <w:smallCaps w:val="0"/>
        <w:strike w:val="0"/>
        <w:vanish w:val="0"/>
        <w:color w:val="000000"/>
        <w:spacing w:val="0"/>
        <w:position w:val="0"/>
        <w:u w:val="none"/>
        <w:vertAlign w:val="baseline"/>
        <w14:textOutline w14:w="0" w14:cap="rnd" w14:cmpd="sng" w14:algn="ctr">
          <w14:noFill/>
          <w14:prstDash w14:val="solid"/>
          <w14:bevel/>
        </w14:textOutline>
      </w:rPr>
    </w:lvl>
    <w:lvl w:ilvl="1">
      <w:start w:val="1"/>
      <w:numFmt w:val="decimal"/>
      <w:pStyle w:val="Titre2"/>
      <w:lvlText w:val="%1.%2"/>
      <w:lvlJc w:val="left"/>
      <w:pPr>
        <w:tabs>
          <w:tab w:val="num" w:pos="720"/>
        </w:tabs>
        <w:ind w:left="0" w:firstLine="0"/>
      </w:pPr>
      <w:rPr>
        <w:rFonts w:ascii="Arial" w:hAnsi="Arial" w:cs="Arial" w:hint="default"/>
        <w:b/>
        <w:i w:val="0"/>
        <w:sz w:val="26"/>
        <w:u w:val="none"/>
      </w:rPr>
    </w:lvl>
    <w:lvl w:ilvl="2">
      <w:start w:val="1"/>
      <w:numFmt w:val="decimal"/>
      <w:pStyle w:val="Titre3"/>
      <w:lvlText w:val="%1.%2.%3"/>
      <w:lvlJc w:val="left"/>
      <w:pPr>
        <w:tabs>
          <w:tab w:val="num" w:pos="1440"/>
        </w:tabs>
        <w:ind w:left="1152" w:hanging="432"/>
      </w:pPr>
      <w:rPr>
        <w:b w:val="0"/>
        <w:bCs w:val="0"/>
        <w:i w:val="0"/>
        <w:iCs w:val="0"/>
        <w:caps w:val="0"/>
        <w:smallCaps w:val="0"/>
        <w:strike w:val="0"/>
        <w:vanish w:val="0"/>
        <w:color w:val="000000"/>
        <w:spacing w:val="0"/>
        <w:position w:val="0"/>
        <w:u w:val="none"/>
        <w:vertAlign w:val="baseline"/>
        <w14:textOutline w14:w="0" w14:cap="rnd" w14:cmpd="sng" w14:algn="ctr">
          <w14:noFill/>
          <w14:prstDash w14:val="solid"/>
          <w14:bevel/>
        </w14:textOutline>
      </w:rPr>
    </w:lvl>
    <w:lvl w:ilvl="3">
      <w:start w:val="1"/>
      <w:numFmt w:val="decimal"/>
      <w:pStyle w:val="Titre4"/>
      <w:lvlText w:val="%1.%2.%3.%4"/>
      <w:lvlJc w:val="right"/>
      <w:pPr>
        <w:tabs>
          <w:tab w:val="num" w:pos="1948"/>
        </w:tabs>
        <w:ind w:left="864" w:firstLine="724"/>
      </w:pPr>
      <w:rPr>
        <w:rFonts w:ascii="Times New Roman" w:hAnsi="Times New Roman" w:cs="Times New Roman" w:hint="default"/>
      </w:rPr>
    </w:lvl>
    <w:lvl w:ilvl="4">
      <w:start w:val="1"/>
      <w:numFmt w:val="decimal"/>
      <w:lvlText w:val="%5)"/>
      <w:lvlJc w:val="left"/>
      <w:pPr>
        <w:tabs>
          <w:tab w:val="num" w:pos="936"/>
        </w:tabs>
        <w:ind w:left="936" w:hanging="360"/>
      </w:pPr>
      <w:rPr>
        <w:rFonts w:hint="default"/>
      </w:rPr>
    </w:lvl>
    <w:lvl w:ilvl="5">
      <w:start w:val="1"/>
      <w:numFmt w:val="lowerLetter"/>
      <w:pStyle w:val="Titre6"/>
      <w:lvlText w:val="%6)"/>
      <w:lvlJc w:val="left"/>
      <w:pPr>
        <w:tabs>
          <w:tab w:val="num" w:pos="1440"/>
        </w:tabs>
        <w:ind w:left="1152" w:hanging="432"/>
      </w:pPr>
      <w:rPr>
        <w:rFonts w:hint="default"/>
      </w:rPr>
    </w:lvl>
    <w:lvl w:ilvl="6">
      <w:start w:val="1"/>
      <w:numFmt w:val="lowerRoman"/>
      <w:pStyle w:val="Titre7"/>
      <w:lvlText w:val="%7)"/>
      <w:lvlJc w:val="right"/>
      <w:pPr>
        <w:tabs>
          <w:tab w:val="num" w:pos="1296"/>
        </w:tabs>
        <w:ind w:left="1296" w:hanging="288"/>
      </w:pPr>
      <w:rPr>
        <w:rFonts w:hint="default"/>
      </w:rPr>
    </w:lvl>
    <w:lvl w:ilvl="7">
      <w:start w:val="1"/>
      <w:numFmt w:val="lowerLetter"/>
      <w:pStyle w:val="Titre8"/>
      <w:lvlText w:val="%8."/>
      <w:lvlJc w:val="left"/>
      <w:pPr>
        <w:tabs>
          <w:tab w:val="num" w:pos="1440"/>
        </w:tabs>
        <w:ind w:left="1440" w:hanging="432"/>
      </w:pPr>
      <w:rPr>
        <w:rFonts w:hint="default"/>
      </w:rPr>
    </w:lvl>
    <w:lvl w:ilvl="8">
      <w:start w:val="1"/>
      <w:numFmt w:val="lowerRoman"/>
      <w:pStyle w:val="Titre9"/>
      <w:lvlText w:val="%9."/>
      <w:lvlJc w:val="right"/>
      <w:pPr>
        <w:tabs>
          <w:tab w:val="num" w:pos="1584"/>
        </w:tabs>
        <w:ind w:left="1584" w:hanging="144"/>
      </w:pPr>
      <w:rPr>
        <w:rFonts w:hint="default"/>
      </w:rPr>
    </w:lvl>
  </w:abstractNum>
  <w:abstractNum w:abstractNumId="9" w15:restartNumberingAfterBreak="0">
    <w:nsid w:val="1EDA5906"/>
    <w:multiLevelType w:val="multilevel"/>
    <w:tmpl w:val="0C30F37C"/>
    <w:lvl w:ilvl="0">
      <w:start w:val="1"/>
      <w:numFmt w:val="upperRoman"/>
      <w:pStyle w:val="TITRE40"/>
      <w:lvlText w:val="ARTICLE %1 -"/>
      <w:lvlJc w:val="left"/>
      <w:pPr>
        <w:tabs>
          <w:tab w:val="num" w:pos="1800"/>
        </w:tabs>
        <w:ind w:left="1701" w:hanging="1701"/>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pStyle w:val="TITRE40"/>
      <w:lvlText w:val="%1.%2.%3.%4"/>
      <w:lvlJc w:val="left"/>
      <w:pPr>
        <w:tabs>
          <w:tab w:val="num" w:pos="1134"/>
        </w:tabs>
        <w:ind w:left="1134" w:hanging="1134"/>
      </w:pPr>
      <w:rPr>
        <w:rFonts w:hint="default"/>
      </w:rPr>
    </w:lvl>
    <w:lvl w:ilvl="4">
      <w:start w:val="1"/>
      <w:numFmt w:val="decimal"/>
      <w:pStyle w:val="TITRE60"/>
      <w:lvlText w:val="%1.%2.%3.%4.%5"/>
      <w:lvlJc w:val="left"/>
      <w:pPr>
        <w:tabs>
          <w:tab w:val="num" w:pos="1080"/>
        </w:tabs>
        <w:ind w:left="567" w:hanging="567"/>
      </w:pPr>
      <w:rPr>
        <w:rFonts w:ascii="Arial" w:hAnsi="Arial" w:hint="default"/>
        <w:sz w:val="22"/>
      </w:rPr>
    </w:lvl>
    <w:lvl w:ilvl="5">
      <w:start w:val="1"/>
      <w:numFmt w:val="decimal"/>
      <w:pStyle w:val="Titre5"/>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25641B5C"/>
    <w:multiLevelType w:val="multilevel"/>
    <w:tmpl w:val="C26424D4"/>
    <w:lvl w:ilvl="0">
      <w:start w:val="1"/>
      <w:numFmt w:val="bullet"/>
      <w:lvlText w:val="-"/>
      <w:lvlJc w:val="left"/>
      <w:pPr>
        <w:ind w:left="720" w:hanging="360"/>
      </w:pPr>
      <w:rPr>
        <w:rFonts w:ascii="Calibri" w:hAnsi="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29487693"/>
    <w:multiLevelType w:val="multilevel"/>
    <w:tmpl w:val="7B94690C"/>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rPr>
        <w:rFont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3272404"/>
    <w:multiLevelType w:val="multilevel"/>
    <w:tmpl w:val="D9F63AB2"/>
    <w:lvl w:ilvl="0">
      <w:start w:val="1"/>
      <w:numFmt w:val="bullet"/>
      <w:pStyle w:val="Listepuces1"/>
      <w:lvlText w:val=""/>
      <w:lvlJc w:val="left"/>
      <w:pPr>
        <w:tabs>
          <w:tab w:val="num" w:pos="360"/>
        </w:tabs>
        <w:ind w:left="360" w:hanging="360"/>
      </w:pPr>
      <w:rPr>
        <w:rFonts w:ascii="Wingdings" w:hAnsi="Wingdings" w:hint="default"/>
      </w:rPr>
    </w:lvl>
    <w:lvl w:ilvl="1">
      <w:numFmt w:val="bullet"/>
      <w:lvlText w:val="垪⽴Ïýý衴赲ㅸÏ Κ¯䲈࿖䲜࿖⿨Ï쫓矚F í"/>
      <w:lvlJc w:val="left"/>
    </w:lvl>
    <w:lvl w:ilvl="2">
      <w:numFmt w:val="bullet"/>
      <w:lvlText w:val="垪⽴Ïýý衴赲ㅸÏ Κ¯䲈࿖䲜࿖⿨Ï쫓矚F í"/>
      <w:lvlJc w:val="left"/>
    </w:lvl>
    <w:lvl w:ilvl="3">
      <w:numFmt w:val="bullet"/>
      <w:lvlText w:val="垪⽴Ïýý衴赲ㅸÏ Κ¯䲈࿖䲜࿖⿨Ï쫓矚F í"/>
      <w:lvlJc w:val="left"/>
    </w:lvl>
    <w:lvl w:ilvl="4">
      <w:numFmt w:val="bullet"/>
      <w:lvlText w:val="垪⽴Ïýý衴赲ㅸÏ Κ¯䲈࿖䲜࿖⿨Ï쫓矚F í"/>
      <w:lvlJc w:val="left"/>
    </w:lvl>
    <w:lvl w:ilvl="5">
      <w:numFmt w:val="bullet"/>
      <w:lvlText w:val="垪⽴Ïýý衴赲ㅸÏ Κ¯䲈࿖䲜࿖⿨Ï쫓矚F í"/>
      <w:lvlJc w:val="left"/>
    </w:lvl>
    <w:lvl w:ilvl="6">
      <w:numFmt w:val="bullet"/>
      <w:lvlText w:val="垪⽴Ïýý衴赲ㅸÏ Κ¯䲈࿖䲜࿖⿨Ï쫓矚F í"/>
      <w:lvlJc w:val="left"/>
    </w:lvl>
    <w:lvl w:ilvl="7">
      <w:numFmt w:val="bullet"/>
      <w:lvlText w:val="垪⽴Ïýý衴赲ㅸÏ Κ¯䲈࿖䲜࿖⿨Ï쫓矚F í"/>
      <w:lvlJc w:val="left"/>
    </w:lvl>
    <w:lvl w:ilvl="8">
      <w:numFmt w:val="bullet"/>
      <w:lvlText w:val="垪⽴Ïýý衴赲ㅸÏ Κ¯䲈࿖䲜࿖⿨Ï쫓矚F í"/>
      <w:lvlJc w:val="left"/>
    </w:lvl>
  </w:abstractNum>
  <w:abstractNum w:abstractNumId="13" w15:restartNumberingAfterBreak="0">
    <w:nsid w:val="35CA475E"/>
    <w:multiLevelType w:val="multilevel"/>
    <w:tmpl w:val="31B2EDC6"/>
    <w:lvl w:ilvl="0">
      <w:start w:val="1"/>
      <w:numFmt w:val="decimal"/>
      <w:pStyle w:val="Listenumros3"/>
      <w:lvlText w:val="%1."/>
      <w:lvlJc w:val="left"/>
      <w:pPr>
        <w:tabs>
          <w:tab w:val="num" w:pos="926"/>
        </w:tabs>
        <w:ind w:left="926" w:hanging="360"/>
      </w:pPr>
    </w:lvl>
    <w:lvl w:ilvl="1">
      <w:numFmt w:val="bullet"/>
      <w:lvlText w:val="垪⽴Ïýý衴赲ㅸÏ኶垮Ꙡ࿗ɤ⽴ÏýꙠ࿗ዂ垮㮲࿘9"/>
      <w:lvlJc w:val="left"/>
    </w:lvl>
    <w:lvl w:ilvl="2">
      <w:numFmt w:val="bullet"/>
      <w:lvlText w:val="垪⽴Ïýý衴赲ㅸÏ኶垮Ꙡ࿗ɤ⽴ÏýꙠ࿗ዂ垮㮲࿘9"/>
      <w:lvlJc w:val="left"/>
    </w:lvl>
    <w:lvl w:ilvl="3">
      <w:numFmt w:val="bullet"/>
      <w:lvlText w:val="垪⽴Ïýý衴赲ㅸÏ኶垮Ꙡ࿗ɤ⽴ÏýꙠ࿗ዂ垮㮲࿘9"/>
      <w:lvlJc w:val="left"/>
    </w:lvl>
    <w:lvl w:ilvl="4">
      <w:numFmt w:val="bullet"/>
      <w:lvlText w:val="垪⽴Ïýý衴赲ㅸÏ኶垮Ꙡ࿗ɤ⽴ÏýꙠ࿗ዂ垮㮲࿘9"/>
      <w:lvlJc w:val="left"/>
    </w:lvl>
    <w:lvl w:ilvl="5">
      <w:numFmt w:val="bullet"/>
      <w:lvlText w:val="垪⽴Ïýý衴赲ㅸÏ኶垮Ꙡ࿗ɤ⽴ÏýꙠ࿗ዂ垮㮲࿘9"/>
      <w:lvlJc w:val="left"/>
    </w:lvl>
    <w:lvl w:ilvl="6">
      <w:numFmt w:val="bullet"/>
      <w:lvlText w:val="垪⽴Ïýý衴赲ㅸÏ኶垮Ꙡ࿗ɤ⽴ÏýꙠ࿗ዂ垮㮲࿘9"/>
      <w:lvlJc w:val="left"/>
    </w:lvl>
    <w:lvl w:ilvl="7">
      <w:numFmt w:val="bullet"/>
      <w:lvlText w:val="垪⽴Ïýý衴赲ㅸÏ኶垮Ꙡ࿗ɤ⽴ÏýꙠ࿗ዂ垮㮲࿘9"/>
      <w:lvlJc w:val="left"/>
    </w:lvl>
    <w:lvl w:ilvl="8">
      <w:numFmt w:val="bullet"/>
      <w:lvlText w:val="垪⽴Ïýý衴赲ㅸÏ኶垮Ꙡ࿗ɤ⽴ÏýꙠ࿗ዂ垮㮲࿘9"/>
      <w:lvlJc w:val="left"/>
    </w:lvl>
  </w:abstractNum>
  <w:abstractNum w:abstractNumId="14" w15:restartNumberingAfterBreak="0">
    <w:nsid w:val="37C007A4"/>
    <w:multiLevelType w:val="multilevel"/>
    <w:tmpl w:val="C02A90F0"/>
    <w:lvl w:ilvl="0">
      <w:start w:val="1"/>
      <w:numFmt w:val="decimal"/>
      <w:pStyle w:val="Listenumros2"/>
      <w:lvlText w:val="%1."/>
      <w:lvlJc w:val="left"/>
      <w:pPr>
        <w:tabs>
          <w:tab w:val="num" w:pos="643"/>
        </w:tabs>
        <w:ind w:left="643" w:hanging="360"/>
      </w:pPr>
    </w:lvl>
    <w:lvl w:ilvl="1">
      <w:numFmt w:val="bullet"/>
      <w:lvlText w:val="垪⽴Ïýý衴赲ㅸÏ኶垮Ꙡ࿗ɤ⽴ÏýꙠ࿗ዂ垮作࿘9"/>
      <w:lvlJc w:val="left"/>
    </w:lvl>
    <w:lvl w:ilvl="2">
      <w:numFmt w:val="bullet"/>
      <w:lvlText w:val="垪⽴Ïýý衴赲ㅸÏ኶垮Ꙡ࿗ɤ⽴ÏýꙠ࿗ዂ垮作࿘9"/>
      <w:lvlJc w:val="left"/>
    </w:lvl>
    <w:lvl w:ilvl="3">
      <w:numFmt w:val="bullet"/>
      <w:lvlText w:val="垪⽴Ïýý衴赲ㅸÏ኶垮Ꙡ࿗ɤ⽴ÏýꙠ࿗ዂ垮作࿘9"/>
      <w:lvlJc w:val="left"/>
    </w:lvl>
    <w:lvl w:ilvl="4">
      <w:numFmt w:val="bullet"/>
      <w:lvlText w:val="垪⽴Ïýý衴赲ㅸÏ኶垮Ꙡ࿗ɤ⽴ÏýꙠ࿗ዂ垮作࿘9"/>
      <w:lvlJc w:val="left"/>
    </w:lvl>
    <w:lvl w:ilvl="5">
      <w:numFmt w:val="bullet"/>
      <w:lvlText w:val="垪⽴Ïýý衴赲ㅸÏ኶垮Ꙡ࿗ɤ⽴ÏýꙠ࿗ዂ垮作࿘9"/>
      <w:lvlJc w:val="left"/>
    </w:lvl>
    <w:lvl w:ilvl="6">
      <w:numFmt w:val="bullet"/>
      <w:lvlText w:val="垪⽴Ïýý衴赲ㅸÏ኶垮Ꙡ࿗ɤ⽴ÏýꙠ࿗ዂ垮作࿘9"/>
      <w:lvlJc w:val="left"/>
    </w:lvl>
    <w:lvl w:ilvl="7">
      <w:numFmt w:val="bullet"/>
      <w:lvlText w:val="垪⽴Ïýý衴赲ㅸÏ኶垮Ꙡ࿗ɤ⽴ÏýꙠ࿗ዂ垮作࿘9"/>
      <w:lvlJc w:val="left"/>
    </w:lvl>
    <w:lvl w:ilvl="8">
      <w:numFmt w:val="bullet"/>
      <w:lvlText w:val="垪⽴Ïýý衴赲ㅸÏ኶垮Ꙡ࿗ɤ⽴ÏýꙠ࿗ዂ垮作࿘9"/>
      <w:lvlJc w:val="left"/>
    </w:lvl>
  </w:abstractNum>
  <w:abstractNum w:abstractNumId="15" w15:restartNumberingAfterBreak="0">
    <w:nsid w:val="3FD62446"/>
    <w:multiLevelType w:val="multilevel"/>
    <w:tmpl w:val="B07E4B06"/>
    <w:lvl w:ilvl="0">
      <w:start w:val="1"/>
      <w:numFmt w:val="decimal"/>
      <w:pStyle w:val="Listenumros"/>
      <w:lvlText w:val="%1."/>
      <w:lvlJc w:val="left"/>
      <w:pPr>
        <w:tabs>
          <w:tab w:val="num" w:pos="360"/>
        </w:tabs>
        <w:ind w:left="360" w:hanging="360"/>
      </w:pPr>
    </w:lvl>
    <w:lvl w:ilvl="1">
      <w:numFmt w:val="bullet"/>
      <w:lvlText w:val="垪⽴Ïýý衴赲ㅸÏ኶垮Ꙡ࿗ɤ⽴ÏýꙠ࿗ዂ垮謘࿘9"/>
      <w:lvlJc w:val="left"/>
    </w:lvl>
    <w:lvl w:ilvl="2">
      <w:numFmt w:val="bullet"/>
      <w:lvlText w:val="垪⽴Ïýý衴赲ㅸÏ኶垮Ꙡ࿗ɤ⽴ÏýꙠ࿗ዂ垮謘࿘9"/>
      <w:lvlJc w:val="left"/>
    </w:lvl>
    <w:lvl w:ilvl="3">
      <w:numFmt w:val="bullet"/>
      <w:lvlText w:val="垪⽴Ïýý衴赲ㅸÏ኶垮Ꙡ࿗ɤ⽴ÏýꙠ࿗ዂ垮謘࿘9"/>
      <w:lvlJc w:val="left"/>
    </w:lvl>
    <w:lvl w:ilvl="4">
      <w:numFmt w:val="bullet"/>
      <w:lvlText w:val="垪⽴Ïýý衴赲ㅸÏ኶垮Ꙡ࿗ɤ⽴ÏýꙠ࿗ዂ垮謘࿘9"/>
      <w:lvlJc w:val="left"/>
    </w:lvl>
    <w:lvl w:ilvl="5">
      <w:numFmt w:val="bullet"/>
      <w:lvlText w:val="垪⽴Ïýý衴赲ㅸÏ኶垮Ꙡ࿗ɤ⽴ÏýꙠ࿗ዂ垮謘࿘9"/>
      <w:lvlJc w:val="left"/>
    </w:lvl>
    <w:lvl w:ilvl="6">
      <w:numFmt w:val="bullet"/>
      <w:lvlText w:val="垪⽴Ïýý衴赲ㅸÏ኶垮Ꙡ࿗ɤ⽴ÏýꙠ࿗ዂ垮謘࿘9"/>
      <w:lvlJc w:val="left"/>
    </w:lvl>
    <w:lvl w:ilvl="7">
      <w:numFmt w:val="bullet"/>
      <w:lvlText w:val="垪⽴Ïýý衴赲ㅸÏ኶垮Ꙡ࿗ɤ⽴ÏýꙠ࿗ዂ垮謘࿘9"/>
      <w:lvlJc w:val="left"/>
    </w:lvl>
    <w:lvl w:ilvl="8">
      <w:numFmt w:val="bullet"/>
      <w:lvlText w:val="垪⽴Ïýý衴赲ㅸÏ኶垮Ꙡ࿗ɤ⽴ÏýꙠ࿗ዂ垮謘࿘9"/>
      <w:lvlJc w:val="left"/>
    </w:lvl>
  </w:abstractNum>
  <w:abstractNum w:abstractNumId="16" w15:restartNumberingAfterBreak="0">
    <w:nsid w:val="410529EB"/>
    <w:multiLevelType w:val="multilevel"/>
    <w:tmpl w:val="8AE01400"/>
    <w:lvl w:ilvl="0">
      <w:start w:val="1"/>
      <w:numFmt w:val="bullet"/>
      <w:pStyle w:val="2Listepetitscarrs"/>
      <w:lvlText w:val=""/>
      <w:lvlJc w:val="left"/>
      <w:pPr>
        <w:ind w:left="720" w:hanging="360"/>
      </w:pPr>
      <w:rPr>
        <w:rFonts w:ascii="Wingdings" w:hAnsi="Wingdings"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43305336"/>
    <w:multiLevelType w:val="multilevel"/>
    <w:tmpl w:val="040CA1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5A51B78"/>
    <w:multiLevelType w:val="multilevel"/>
    <w:tmpl w:val="0BB0D182"/>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475C45EF"/>
    <w:multiLevelType w:val="multilevel"/>
    <w:tmpl w:val="6C9AD710"/>
    <w:lvl w:ilvl="0">
      <w:start w:val="1"/>
      <w:numFmt w:val="bullet"/>
      <w:lvlText w:val="-"/>
      <w:lvlJc w:val="left"/>
      <w:pPr>
        <w:ind w:left="720" w:hanging="360"/>
      </w:pPr>
      <w:rPr>
        <w:rFonts w:ascii="Calibri" w:hAnsi="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47973D78"/>
    <w:multiLevelType w:val="multilevel"/>
    <w:tmpl w:val="D6980D80"/>
    <w:lvl w:ilvl="0">
      <w:start w:val="1"/>
      <w:numFmt w:val="decimal"/>
      <w:pStyle w:val="Listenumros4"/>
      <w:lvlText w:val="%1."/>
      <w:lvlJc w:val="left"/>
      <w:pPr>
        <w:tabs>
          <w:tab w:val="num" w:pos="1209"/>
        </w:tabs>
        <w:ind w:left="1209" w:hanging="360"/>
      </w:pPr>
    </w:lvl>
    <w:lvl w:ilvl="1">
      <w:numFmt w:val="bullet"/>
      <w:lvlText w:val="垪⽴Ïýý衴赲ㅸÏ኶垮Ꙡ࿗ɤ⽴ÏýꙠ࿗ዂ垮⠈࿘9"/>
      <w:lvlJc w:val="left"/>
    </w:lvl>
    <w:lvl w:ilvl="2">
      <w:numFmt w:val="bullet"/>
      <w:lvlText w:val="垪⽴Ïýý衴赲ㅸÏ኶垮Ꙡ࿗ɤ⽴ÏýꙠ࿗ዂ垮⠈࿘9"/>
      <w:lvlJc w:val="left"/>
    </w:lvl>
    <w:lvl w:ilvl="3">
      <w:numFmt w:val="bullet"/>
      <w:lvlText w:val="垪⽴Ïýý衴赲ㅸÏ኶垮Ꙡ࿗ɤ⽴ÏýꙠ࿗ዂ垮⠈࿘9"/>
      <w:lvlJc w:val="left"/>
    </w:lvl>
    <w:lvl w:ilvl="4">
      <w:numFmt w:val="bullet"/>
      <w:lvlText w:val="垪⽴Ïýý衴赲ㅸÏ኶垮Ꙡ࿗ɤ⽴ÏýꙠ࿗ዂ垮⠈࿘9"/>
      <w:lvlJc w:val="left"/>
    </w:lvl>
    <w:lvl w:ilvl="5">
      <w:numFmt w:val="bullet"/>
      <w:lvlText w:val="垪⽴Ïýý衴赲ㅸÏ኶垮Ꙡ࿗ɤ⽴ÏýꙠ࿗ዂ垮⠈࿘9"/>
      <w:lvlJc w:val="left"/>
    </w:lvl>
    <w:lvl w:ilvl="6">
      <w:numFmt w:val="bullet"/>
      <w:lvlText w:val="垪⽴Ïýý衴赲ㅸÏ኶垮Ꙡ࿗ɤ⽴ÏýꙠ࿗ዂ垮⠈࿘9"/>
      <w:lvlJc w:val="left"/>
    </w:lvl>
    <w:lvl w:ilvl="7">
      <w:numFmt w:val="bullet"/>
      <w:lvlText w:val="垪⽴Ïýý衴赲ㅸÏ኶垮Ꙡ࿗ɤ⽴ÏýꙠ࿗ዂ垮⠈࿘9"/>
      <w:lvlJc w:val="left"/>
    </w:lvl>
    <w:lvl w:ilvl="8">
      <w:numFmt w:val="bullet"/>
      <w:lvlText w:val="垪⽴Ïýý衴赲ㅸÏ኶垮Ꙡ࿗ɤ⽴ÏýꙠ࿗ዂ垮⠈࿘9"/>
      <w:lvlJc w:val="left"/>
    </w:lvl>
  </w:abstractNum>
  <w:abstractNum w:abstractNumId="21" w15:restartNumberingAfterBreak="0">
    <w:nsid w:val="4C5B740B"/>
    <w:multiLevelType w:val="multilevel"/>
    <w:tmpl w:val="38F0A104"/>
    <w:lvl w:ilvl="0">
      <w:start w:val="1"/>
      <w:numFmt w:val="bullet"/>
      <w:pStyle w:val="Listepuces2"/>
      <w:lvlText w:val=""/>
      <w:lvlJc w:val="left"/>
      <w:pPr>
        <w:tabs>
          <w:tab w:val="num" w:pos="360"/>
        </w:tabs>
        <w:ind w:left="360" w:hanging="360"/>
      </w:pPr>
      <w:rPr>
        <w:rFonts w:ascii="Wingdings" w:hAnsi="Wingdings" w:hint="default"/>
      </w:rPr>
    </w:lvl>
    <w:lvl w:ilvl="1">
      <w:numFmt w:val="bullet"/>
      <w:lvlText w:val="垫【Ï剐壺⿨Ï⿨Ï⤎垫 Κ¤䲈࿖䲜࿖⿨Ï쫓矚 í"/>
      <w:lvlJc w:val="left"/>
    </w:lvl>
    <w:lvl w:ilvl="2">
      <w:numFmt w:val="bullet"/>
      <w:lvlText w:val="垫【Ï剐壺⿨Ï⿨Ï⤎垫 Κ¤䲈࿖䲜࿖⿨Ï쫓矚 í"/>
      <w:lvlJc w:val="left"/>
    </w:lvl>
    <w:lvl w:ilvl="3">
      <w:numFmt w:val="bullet"/>
      <w:lvlText w:val="垫【Ï剐壺⿨Ï⿨Ï⤎垫 Κ¤䲈࿖䲜࿖⿨Ï쫓矚 í"/>
      <w:lvlJc w:val="left"/>
    </w:lvl>
    <w:lvl w:ilvl="4">
      <w:numFmt w:val="bullet"/>
      <w:lvlText w:val="垫【Ï剐壺⿨Ï⿨Ï⤎垫 Κ¤䲈࿖䲜࿖⿨Ï쫓矚 í"/>
      <w:lvlJc w:val="left"/>
    </w:lvl>
    <w:lvl w:ilvl="5">
      <w:numFmt w:val="bullet"/>
      <w:lvlText w:val="垫【Ï剐壺⿨Ï⿨Ï⤎垫 Κ¤䲈࿖䲜࿖⿨Ï쫓矚 í"/>
      <w:lvlJc w:val="left"/>
    </w:lvl>
    <w:lvl w:ilvl="6">
      <w:numFmt w:val="bullet"/>
      <w:lvlText w:val="垫【Ï剐壺⿨Ï⿨Ï⤎垫 Κ¤䲈࿖䲜࿖⿨Ï쫓矚 í"/>
      <w:lvlJc w:val="left"/>
    </w:lvl>
    <w:lvl w:ilvl="7">
      <w:numFmt w:val="bullet"/>
      <w:lvlText w:val="垫【Ï剐壺⿨Ï⿨Ï⤎垫 Κ¤䲈࿖䲜࿖⿨Ï쫓矚 í"/>
      <w:lvlJc w:val="left"/>
    </w:lvl>
    <w:lvl w:ilvl="8">
      <w:numFmt w:val="bullet"/>
      <w:lvlText w:val="垫【Ï剐壺⿨Ï⿨Ï⤎垫 Κ¤䲈࿖䲜࿖⿨Ï쫓矚 í"/>
      <w:lvlJc w:val="left"/>
    </w:lvl>
  </w:abstractNum>
  <w:abstractNum w:abstractNumId="22" w15:restartNumberingAfterBreak="0">
    <w:nsid w:val="4DAE512F"/>
    <w:multiLevelType w:val="multilevel"/>
    <w:tmpl w:val="5BB0CD9E"/>
    <w:lvl w:ilvl="0">
      <w:start w:val="1"/>
      <w:numFmt w:val="bullet"/>
      <w:lvlText w:val=""/>
      <w:lvlJc w:val="left"/>
      <w:pPr>
        <w:ind w:left="720" w:hanging="360"/>
      </w:pPr>
      <w:rPr>
        <w:rFonts w:ascii="Wingdings" w:hAnsi="Wingdings"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50DE0CBE"/>
    <w:multiLevelType w:val="multilevel"/>
    <w:tmpl w:val="FF5023C4"/>
    <w:lvl w:ilvl="0">
      <w:start w:val="1"/>
      <w:numFmt w:val="decimal"/>
      <w:pStyle w:val="Listenumros5"/>
      <w:lvlText w:val="%1."/>
      <w:lvlJc w:val="left"/>
      <w:pPr>
        <w:tabs>
          <w:tab w:val="num" w:pos="1492"/>
        </w:tabs>
        <w:ind w:left="1492" w:hanging="360"/>
      </w:pPr>
    </w:lvl>
    <w:lvl w:ilvl="1">
      <w:numFmt w:val="bullet"/>
      <w:lvlText w:val="垪⽴Ïýý衴赲ㅸÏ኶垮Ꙡ࿗ɤ⽴ÏýꙠ࿗ዂ垮ᑚ࿘9"/>
      <w:lvlJc w:val="left"/>
    </w:lvl>
    <w:lvl w:ilvl="2">
      <w:numFmt w:val="bullet"/>
      <w:lvlText w:val="垪⽴Ïýý衴赲ㅸÏ኶垮Ꙡ࿗ɤ⽴ÏýꙠ࿗ዂ垮ᑚ࿘9"/>
      <w:lvlJc w:val="left"/>
    </w:lvl>
    <w:lvl w:ilvl="3">
      <w:numFmt w:val="bullet"/>
      <w:lvlText w:val="垪⽴Ïýý衴赲ㅸÏ኶垮Ꙡ࿗ɤ⽴ÏýꙠ࿗ዂ垮ᑚ࿘9"/>
      <w:lvlJc w:val="left"/>
    </w:lvl>
    <w:lvl w:ilvl="4">
      <w:numFmt w:val="bullet"/>
      <w:lvlText w:val="垪⽴Ïýý衴赲ㅸÏ኶垮Ꙡ࿗ɤ⽴ÏýꙠ࿗ዂ垮ᑚ࿘9"/>
      <w:lvlJc w:val="left"/>
    </w:lvl>
    <w:lvl w:ilvl="5">
      <w:numFmt w:val="bullet"/>
      <w:lvlText w:val="垪⽴Ïýý衴赲ㅸÏ኶垮Ꙡ࿗ɤ⽴ÏýꙠ࿗ዂ垮ᑚ࿘9"/>
      <w:lvlJc w:val="left"/>
    </w:lvl>
    <w:lvl w:ilvl="6">
      <w:numFmt w:val="bullet"/>
      <w:lvlText w:val="垪⽴Ïýý衴赲ㅸÏ኶垮Ꙡ࿗ɤ⽴ÏýꙠ࿗ዂ垮ᑚ࿘9"/>
      <w:lvlJc w:val="left"/>
    </w:lvl>
    <w:lvl w:ilvl="7">
      <w:numFmt w:val="bullet"/>
      <w:lvlText w:val="垪⽴Ïýý衴赲ㅸÏ኶垮Ꙡ࿗ɤ⽴ÏýꙠ࿗ዂ垮ᑚ࿘9"/>
      <w:lvlJc w:val="left"/>
    </w:lvl>
    <w:lvl w:ilvl="8">
      <w:numFmt w:val="bullet"/>
      <w:lvlText w:val="垪⽴Ïýý衴赲ㅸÏ኶垮Ꙡ࿗ɤ⽴ÏýꙠ࿗ዂ垮ᑚ࿘9"/>
      <w:lvlJc w:val="left"/>
    </w:lvl>
  </w:abstractNum>
  <w:abstractNum w:abstractNumId="24" w15:restartNumberingAfterBreak="0">
    <w:nsid w:val="53DC57CF"/>
    <w:multiLevelType w:val="multilevel"/>
    <w:tmpl w:val="B04622F2"/>
    <w:lvl w:ilvl="0">
      <w:start w:val="1"/>
      <w:numFmt w:val="bullet"/>
      <w:lvlText w:val=""/>
      <w:lvlJc w:val="left"/>
      <w:pPr>
        <w:ind w:left="720" w:hanging="360"/>
      </w:pPr>
      <w:rPr>
        <w:rFonts w:ascii="Wingdings" w:hAnsi="Wingdings"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55421170"/>
    <w:multiLevelType w:val="multilevel"/>
    <w:tmpl w:val="45F6586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573B4054"/>
    <w:multiLevelType w:val="multilevel"/>
    <w:tmpl w:val="36EE9566"/>
    <w:lvl w:ilvl="0">
      <w:start w:val="8"/>
      <w:numFmt w:val="bullet"/>
      <w:pStyle w:val="puces"/>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307" w:hanging="227"/>
      </w:pPr>
      <w:rPr>
        <w:rFonts w:ascii="Wingdings" w:hAnsi="Wingdings" w:hint="default"/>
        <w:sz w:val="16"/>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8335C7F"/>
    <w:multiLevelType w:val="multilevel"/>
    <w:tmpl w:val="6DE2F9D0"/>
    <w:lvl w:ilvl="0">
      <w:start w:val="1"/>
      <w:numFmt w:val="bullet"/>
      <w:lvlText w:val=""/>
      <w:lvlJc w:val="left"/>
      <w:pPr>
        <w:ind w:left="1288" w:hanging="360"/>
      </w:pPr>
      <w:rPr>
        <w:rFonts w:ascii="Wingdings" w:hAnsi="Wingdings" w:hint="default"/>
      </w:rPr>
    </w:lvl>
    <w:lvl w:ilvl="1">
      <w:start w:val="1"/>
      <w:numFmt w:val="bullet"/>
      <w:lvlText w:val="o"/>
      <w:lvlJc w:val="left"/>
      <w:pPr>
        <w:ind w:left="2008" w:hanging="360"/>
      </w:pPr>
      <w:rPr>
        <w:rFonts w:ascii="Courier New" w:hAnsi="Courier New" w:cs="Courier New" w:hint="default"/>
      </w:rPr>
    </w:lvl>
    <w:lvl w:ilvl="2">
      <w:start w:val="1"/>
      <w:numFmt w:val="bullet"/>
      <w:lvlText w:val=""/>
      <w:lvlJc w:val="left"/>
      <w:pPr>
        <w:ind w:left="2728" w:hanging="360"/>
      </w:pPr>
      <w:rPr>
        <w:rFonts w:ascii="Wingdings" w:hAnsi="Wingdings" w:hint="default"/>
      </w:rPr>
    </w:lvl>
    <w:lvl w:ilvl="3">
      <w:start w:val="1"/>
      <w:numFmt w:val="bullet"/>
      <w:lvlText w:val=""/>
      <w:lvlJc w:val="left"/>
      <w:pPr>
        <w:ind w:left="3448" w:hanging="360"/>
      </w:pPr>
      <w:rPr>
        <w:rFonts w:ascii="Symbol" w:hAnsi="Symbol" w:hint="default"/>
      </w:rPr>
    </w:lvl>
    <w:lvl w:ilvl="4">
      <w:start w:val="1"/>
      <w:numFmt w:val="bullet"/>
      <w:lvlText w:val="o"/>
      <w:lvlJc w:val="left"/>
      <w:pPr>
        <w:ind w:left="4168" w:hanging="360"/>
      </w:pPr>
      <w:rPr>
        <w:rFonts w:ascii="Courier New" w:hAnsi="Courier New" w:cs="Courier New" w:hint="default"/>
      </w:rPr>
    </w:lvl>
    <w:lvl w:ilvl="5">
      <w:start w:val="1"/>
      <w:numFmt w:val="bullet"/>
      <w:lvlText w:val=""/>
      <w:lvlJc w:val="left"/>
      <w:pPr>
        <w:ind w:left="4888" w:hanging="360"/>
      </w:pPr>
      <w:rPr>
        <w:rFonts w:ascii="Wingdings" w:hAnsi="Wingdings" w:hint="default"/>
      </w:rPr>
    </w:lvl>
    <w:lvl w:ilvl="6">
      <w:start w:val="1"/>
      <w:numFmt w:val="bullet"/>
      <w:lvlText w:val=""/>
      <w:lvlJc w:val="left"/>
      <w:pPr>
        <w:ind w:left="5608" w:hanging="360"/>
      </w:pPr>
      <w:rPr>
        <w:rFonts w:ascii="Symbol" w:hAnsi="Symbol" w:hint="default"/>
      </w:rPr>
    </w:lvl>
    <w:lvl w:ilvl="7">
      <w:start w:val="1"/>
      <w:numFmt w:val="bullet"/>
      <w:lvlText w:val="o"/>
      <w:lvlJc w:val="left"/>
      <w:pPr>
        <w:ind w:left="6328" w:hanging="360"/>
      </w:pPr>
      <w:rPr>
        <w:rFonts w:ascii="Courier New" w:hAnsi="Courier New" w:cs="Courier New" w:hint="default"/>
      </w:rPr>
    </w:lvl>
    <w:lvl w:ilvl="8">
      <w:start w:val="1"/>
      <w:numFmt w:val="bullet"/>
      <w:lvlText w:val=""/>
      <w:lvlJc w:val="left"/>
      <w:pPr>
        <w:ind w:left="7048" w:hanging="360"/>
      </w:pPr>
      <w:rPr>
        <w:rFonts w:ascii="Wingdings" w:hAnsi="Wingdings" w:hint="default"/>
      </w:rPr>
    </w:lvl>
  </w:abstractNum>
  <w:abstractNum w:abstractNumId="28" w15:restartNumberingAfterBreak="0">
    <w:nsid w:val="5B6742EB"/>
    <w:multiLevelType w:val="multilevel"/>
    <w:tmpl w:val="0010AF70"/>
    <w:lvl w:ilvl="0">
      <w:start w:val="1"/>
      <w:numFmt w:val="bullet"/>
      <w:pStyle w:val="Listepuces5"/>
      <w:lvlText w:val=""/>
      <w:lvlJc w:val="left"/>
      <w:pPr>
        <w:tabs>
          <w:tab w:val="num" w:pos="1492"/>
        </w:tabs>
        <w:ind w:left="1492" w:hanging="360"/>
      </w:pPr>
      <w:rPr>
        <w:rFonts w:ascii="Symbol" w:hAnsi="Symbol" w:hint="default"/>
      </w:rPr>
    </w:lvl>
    <w:lvl w:ilvl="1">
      <w:numFmt w:val="bullet"/>
      <w:lvlText w:val="垫【Ï剐壺⿨Ï⿨Ï⤎垫 #İ쯐࿕쯤࿕⿨Ï쫓矚&#10; í"/>
      <w:lvlJc w:val="left"/>
    </w:lvl>
    <w:lvl w:ilvl="2">
      <w:numFmt w:val="bullet"/>
      <w:lvlText w:val="垫【Ï剐壺⿨Ï⿨Ï⤎垫 #İ쯐࿕쯤࿕⿨Ï쫓矚&#10; í"/>
      <w:lvlJc w:val="left"/>
    </w:lvl>
    <w:lvl w:ilvl="3">
      <w:numFmt w:val="bullet"/>
      <w:lvlText w:val="垫【Ï剐壺⿨Ï⿨Ï⤎垫 #İ쯐࿕쯤࿕⿨Ï쫓矚&#10; í"/>
      <w:lvlJc w:val="left"/>
    </w:lvl>
    <w:lvl w:ilvl="4">
      <w:numFmt w:val="bullet"/>
      <w:lvlText w:val="垫【Ï剐壺⿨Ï⿨Ï⤎垫 #İ쯐࿕쯤࿕⿨Ï쫓矚&#10; í"/>
      <w:lvlJc w:val="left"/>
    </w:lvl>
    <w:lvl w:ilvl="5">
      <w:numFmt w:val="bullet"/>
      <w:lvlText w:val="垫【Ï剐壺⿨Ï⿨Ï⤎垫 #İ쯐࿕쯤࿕⿨Ï쫓矚&#10; í"/>
      <w:lvlJc w:val="left"/>
    </w:lvl>
    <w:lvl w:ilvl="6">
      <w:numFmt w:val="bullet"/>
      <w:lvlText w:val="垫【Ï剐壺⿨Ï⿨Ï⤎垫 #İ쯐࿕쯤࿕⿨Ï쫓矚&#10; í"/>
      <w:lvlJc w:val="left"/>
    </w:lvl>
    <w:lvl w:ilvl="7">
      <w:numFmt w:val="bullet"/>
      <w:lvlText w:val="垫【Ï剐壺⿨Ï⿨Ï⤎垫 #İ쯐࿕쯤࿕⿨Ï쫓矚&#10; í"/>
      <w:lvlJc w:val="left"/>
    </w:lvl>
    <w:lvl w:ilvl="8">
      <w:numFmt w:val="bullet"/>
      <w:lvlText w:val="垫【Ï剐壺⿨Ï⿨Ï⤎垫 #İ쯐࿕쯤࿕⿨Ï쫓矚&#10; í"/>
      <w:lvlJc w:val="left"/>
    </w:lvl>
  </w:abstractNum>
  <w:abstractNum w:abstractNumId="29" w15:restartNumberingAfterBreak="0">
    <w:nsid w:val="5DFB3DAE"/>
    <w:multiLevelType w:val="multilevel"/>
    <w:tmpl w:val="ECEA9576"/>
    <w:lvl w:ilvl="0">
      <w:start w:val="1"/>
      <w:numFmt w:val="bullet"/>
      <w:pStyle w:val="2Listecarrs"/>
      <w:lvlText w:val=""/>
      <w:lvlJc w:val="left"/>
      <w:pPr>
        <w:ind w:left="720" w:hanging="360"/>
      </w:pPr>
      <w:rPr>
        <w:rFonts w:ascii="Wingdings" w:hAnsi="Wingdings"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5FC00961"/>
    <w:multiLevelType w:val="multilevel"/>
    <w:tmpl w:val="FC085364"/>
    <w:lvl w:ilvl="0">
      <w:start w:val="1"/>
      <w:numFmt w:val="bullet"/>
      <w:pStyle w:val="Enum1Titre"/>
      <w:lvlText w:val=""/>
      <w:lvlJc w:val="left"/>
      <w:pPr>
        <w:tabs>
          <w:tab w:val="num" w:pos="566"/>
        </w:tabs>
        <w:ind w:left="566" w:hanging="283"/>
      </w:pPr>
      <w:rPr>
        <w:rFonts w:ascii="Wingdings" w:hAnsi="Wingdings" w:hint="default"/>
        <w:color w:val="auto"/>
        <w:sz w:val="22"/>
        <w:szCs w:val="16"/>
      </w:rPr>
    </w:lvl>
    <w:lvl w:ilvl="1">
      <w:start w:val="1"/>
      <w:numFmt w:val="bullet"/>
      <w:lvlText w:val="o"/>
      <w:lvlJc w:val="left"/>
      <w:pPr>
        <w:tabs>
          <w:tab w:val="num" w:pos="2572"/>
        </w:tabs>
        <w:ind w:left="2572" w:hanging="360"/>
      </w:pPr>
      <w:rPr>
        <w:rFonts w:ascii="Courier New" w:hAnsi="Courier New" w:cs="Times New (W1)" w:hint="default"/>
      </w:rPr>
    </w:lvl>
    <w:lvl w:ilvl="2">
      <w:start w:val="1"/>
      <w:numFmt w:val="bullet"/>
      <w:lvlText w:val=""/>
      <w:lvlJc w:val="left"/>
      <w:pPr>
        <w:tabs>
          <w:tab w:val="num" w:pos="3292"/>
        </w:tabs>
        <w:ind w:left="3292" w:hanging="360"/>
      </w:pPr>
      <w:rPr>
        <w:rFonts w:ascii="Wingdings" w:hAnsi="Wingdings" w:hint="default"/>
      </w:rPr>
    </w:lvl>
    <w:lvl w:ilvl="3">
      <w:start w:val="1"/>
      <w:numFmt w:val="bullet"/>
      <w:lvlText w:val=""/>
      <w:lvlJc w:val="left"/>
      <w:pPr>
        <w:tabs>
          <w:tab w:val="num" w:pos="4012"/>
        </w:tabs>
        <w:ind w:left="4012" w:hanging="360"/>
      </w:pPr>
      <w:rPr>
        <w:rFonts w:ascii="Symbol" w:hAnsi="Symbol" w:hint="default"/>
      </w:rPr>
    </w:lvl>
    <w:lvl w:ilvl="4">
      <w:start w:val="1"/>
      <w:numFmt w:val="bullet"/>
      <w:lvlText w:val="o"/>
      <w:lvlJc w:val="left"/>
      <w:pPr>
        <w:tabs>
          <w:tab w:val="num" w:pos="4732"/>
        </w:tabs>
        <w:ind w:left="4732" w:hanging="360"/>
      </w:pPr>
      <w:rPr>
        <w:rFonts w:ascii="Courier New" w:hAnsi="Courier New" w:cs="Times New (W1)" w:hint="default"/>
      </w:rPr>
    </w:lvl>
    <w:lvl w:ilvl="5">
      <w:start w:val="1"/>
      <w:numFmt w:val="bullet"/>
      <w:lvlText w:val=""/>
      <w:lvlJc w:val="left"/>
      <w:pPr>
        <w:tabs>
          <w:tab w:val="num" w:pos="5452"/>
        </w:tabs>
        <w:ind w:left="5452" w:hanging="360"/>
      </w:pPr>
      <w:rPr>
        <w:rFonts w:ascii="Wingdings" w:hAnsi="Wingdings" w:hint="default"/>
      </w:rPr>
    </w:lvl>
    <w:lvl w:ilvl="6">
      <w:start w:val="1"/>
      <w:numFmt w:val="bullet"/>
      <w:lvlText w:val=""/>
      <w:lvlJc w:val="left"/>
      <w:pPr>
        <w:tabs>
          <w:tab w:val="num" w:pos="6172"/>
        </w:tabs>
        <w:ind w:left="6172" w:hanging="360"/>
      </w:pPr>
      <w:rPr>
        <w:rFonts w:ascii="Symbol" w:hAnsi="Symbol" w:hint="default"/>
      </w:rPr>
    </w:lvl>
    <w:lvl w:ilvl="7">
      <w:start w:val="1"/>
      <w:numFmt w:val="bullet"/>
      <w:lvlText w:val="o"/>
      <w:lvlJc w:val="left"/>
      <w:pPr>
        <w:tabs>
          <w:tab w:val="num" w:pos="6892"/>
        </w:tabs>
        <w:ind w:left="6892" w:hanging="360"/>
      </w:pPr>
      <w:rPr>
        <w:rFonts w:ascii="Courier New" w:hAnsi="Courier New" w:cs="Times New (W1)" w:hint="default"/>
      </w:rPr>
    </w:lvl>
    <w:lvl w:ilvl="8">
      <w:start w:val="1"/>
      <w:numFmt w:val="bullet"/>
      <w:lvlText w:val=""/>
      <w:lvlJc w:val="left"/>
      <w:pPr>
        <w:tabs>
          <w:tab w:val="num" w:pos="7612"/>
        </w:tabs>
        <w:ind w:left="7612" w:hanging="360"/>
      </w:pPr>
      <w:rPr>
        <w:rFonts w:ascii="Wingdings" w:hAnsi="Wingdings" w:hint="default"/>
      </w:rPr>
    </w:lvl>
  </w:abstractNum>
  <w:abstractNum w:abstractNumId="31" w15:restartNumberingAfterBreak="0">
    <w:nsid w:val="621A44D4"/>
    <w:multiLevelType w:val="multilevel"/>
    <w:tmpl w:val="9C84DAA6"/>
    <w:lvl w:ilvl="0">
      <w:start w:val="1"/>
      <w:numFmt w:val="bullet"/>
      <w:lvlText w:val="-"/>
      <w:lvlJc w:val="left"/>
      <w:pPr>
        <w:ind w:left="720" w:hanging="360"/>
      </w:pPr>
      <w:rPr>
        <w:rFonts w:ascii="Times" w:hAnsi="Time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63353AF0"/>
    <w:multiLevelType w:val="multilevel"/>
    <w:tmpl w:val="A71C8EAE"/>
    <w:lvl w:ilvl="0">
      <w:start w:val="1"/>
      <w:numFmt w:val="bullet"/>
      <w:pStyle w:val="Listepuces"/>
      <w:lvlText w:val=""/>
      <w:lvlJc w:val="left"/>
      <w:pPr>
        <w:tabs>
          <w:tab w:val="num" w:pos="360"/>
        </w:tabs>
        <w:ind w:left="360" w:hanging="360"/>
      </w:pPr>
      <w:rPr>
        <w:rFonts w:ascii="Wingdings" w:hAnsi="Wingdings" w:hint="default"/>
      </w:rPr>
    </w:lvl>
    <w:lvl w:ilvl="1">
      <w:numFmt w:val="bullet"/>
      <w:lvlText w:val="垪⽴Ïýý衴赲ㅸÏ Θµ䲈࿖䲜࿖⿨Ï쫓矚T í"/>
      <w:lvlJc w:val="left"/>
    </w:lvl>
    <w:lvl w:ilvl="2">
      <w:numFmt w:val="bullet"/>
      <w:lvlText w:val="垪⽴Ïýý衴赲ㅸÏ Θµ䲈࿖䲜࿖⿨Ï쫓矚T í"/>
      <w:lvlJc w:val="left"/>
    </w:lvl>
    <w:lvl w:ilvl="3">
      <w:numFmt w:val="bullet"/>
      <w:lvlText w:val="垪⽴Ïýý衴赲ㅸÏ Θµ䲈࿖䲜࿖⿨Ï쫓矚T í"/>
      <w:lvlJc w:val="left"/>
    </w:lvl>
    <w:lvl w:ilvl="4">
      <w:numFmt w:val="bullet"/>
      <w:lvlText w:val="垪⽴Ïýý衴赲ㅸÏ Θµ䲈࿖䲜࿖⿨Ï쫓矚T í"/>
      <w:lvlJc w:val="left"/>
    </w:lvl>
    <w:lvl w:ilvl="5">
      <w:numFmt w:val="bullet"/>
      <w:lvlText w:val="垪⽴Ïýý衴赲ㅸÏ Θµ䲈࿖䲜࿖⿨Ï쫓矚T í"/>
      <w:lvlJc w:val="left"/>
    </w:lvl>
    <w:lvl w:ilvl="6">
      <w:numFmt w:val="bullet"/>
      <w:lvlText w:val="垪⽴Ïýý衴赲ㅸÏ Θµ䲈࿖䲜࿖⿨Ï쫓矚T í"/>
      <w:lvlJc w:val="left"/>
    </w:lvl>
    <w:lvl w:ilvl="7">
      <w:numFmt w:val="bullet"/>
      <w:lvlText w:val="垪⽴Ïýý衴赲ㅸÏ Θµ䲈࿖䲜࿖⿨Ï쫓矚T í"/>
      <w:lvlJc w:val="left"/>
    </w:lvl>
    <w:lvl w:ilvl="8">
      <w:numFmt w:val="bullet"/>
      <w:lvlText w:val="垪⽴Ïýý衴赲ㅸÏ Θµ䲈࿖䲜࿖⿨Ï쫓矚T í"/>
      <w:lvlJc w:val="left"/>
    </w:lvl>
  </w:abstractNum>
  <w:abstractNum w:abstractNumId="33" w15:restartNumberingAfterBreak="0">
    <w:nsid w:val="6EC2614D"/>
    <w:multiLevelType w:val="multilevel"/>
    <w:tmpl w:val="01AEE67E"/>
    <w:lvl w:ilvl="0">
      <w:start w:val="1"/>
      <w:numFmt w:val="bullet"/>
      <w:pStyle w:val="2Listepoints"/>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731A7EEF"/>
    <w:multiLevelType w:val="multilevel"/>
    <w:tmpl w:val="CE94ADAE"/>
    <w:lvl w:ilvl="0">
      <w:start w:val="1"/>
      <w:numFmt w:val="bullet"/>
      <w:pStyle w:val="2Listetirets"/>
      <w:lvlText w:val="-"/>
      <w:lvlJc w:val="left"/>
      <w:pPr>
        <w:ind w:left="720" w:hanging="360"/>
      </w:pPr>
      <w:rPr>
        <w:rFonts w:ascii="Times" w:hAnsi="Time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75737BC0"/>
    <w:multiLevelType w:val="multilevel"/>
    <w:tmpl w:val="8A5A1E5A"/>
    <w:lvl w:ilvl="0">
      <w:start w:val="1"/>
      <w:numFmt w:val="bullet"/>
      <w:pStyle w:val="2Listeflches"/>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7A00299A"/>
    <w:multiLevelType w:val="multilevel"/>
    <w:tmpl w:val="5860C0A2"/>
    <w:lvl w:ilvl="0">
      <w:start w:val="1"/>
      <w:numFmt w:val="lowerLetter"/>
      <w:lvlText w:val="%1."/>
      <w:lvlJc w:val="left"/>
      <w:pPr>
        <w:ind w:left="1440" w:hanging="360"/>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num w:numId="1">
    <w:abstractNumId w:val="15"/>
  </w:num>
  <w:num w:numId="2">
    <w:abstractNumId w:val="14"/>
  </w:num>
  <w:num w:numId="3">
    <w:abstractNumId w:val="13"/>
  </w:num>
  <w:num w:numId="4">
    <w:abstractNumId w:val="20"/>
  </w:num>
  <w:num w:numId="5">
    <w:abstractNumId w:val="23"/>
  </w:num>
  <w:num w:numId="6">
    <w:abstractNumId w:val="0"/>
  </w:num>
  <w:num w:numId="7">
    <w:abstractNumId w:val="28"/>
  </w:num>
  <w:num w:numId="8">
    <w:abstractNumId w:val="32"/>
  </w:num>
  <w:num w:numId="9">
    <w:abstractNumId w:val="12"/>
  </w:num>
  <w:num w:numId="10">
    <w:abstractNumId w:val="1"/>
  </w:num>
  <w:num w:numId="11">
    <w:abstractNumId w:val="30"/>
  </w:num>
  <w:num w:numId="12">
    <w:abstractNumId w:val="26"/>
  </w:num>
  <w:num w:numId="13">
    <w:abstractNumId w:val="4"/>
  </w:num>
  <w:num w:numId="14">
    <w:abstractNumId w:val="9"/>
  </w:num>
  <w:num w:numId="15">
    <w:abstractNumId w:val="21"/>
  </w:num>
  <w:num w:numId="16">
    <w:abstractNumId w:val="6"/>
  </w:num>
  <w:num w:numId="17">
    <w:abstractNumId w:val="24"/>
  </w:num>
  <w:num w:numId="18">
    <w:abstractNumId w:val="22"/>
  </w:num>
  <w:num w:numId="19">
    <w:abstractNumId w:val="8"/>
  </w:num>
  <w:num w:numId="20">
    <w:abstractNumId w:val="34"/>
  </w:num>
  <w:num w:numId="21">
    <w:abstractNumId w:val="35"/>
  </w:num>
  <w:num w:numId="22">
    <w:abstractNumId w:val="33"/>
  </w:num>
  <w:num w:numId="23">
    <w:abstractNumId w:val="29"/>
  </w:num>
  <w:num w:numId="24">
    <w:abstractNumId w:val="16"/>
  </w:num>
  <w:num w:numId="25">
    <w:abstractNumId w:val="18"/>
  </w:num>
  <w:num w:numId="26">
    <w:abstractNumId w:val="31"/>
  </w:num>
  <w:num w:numId="27">
    <w:abstractNumId w:val="25"/>
  </w:num>
  <w:num w:numId="28">
    <w:abstractNumId w:val="7"/>
  </w:num>
  <w:num w:numId="29">
    <w:abstractNumId w:val="27"/>
  </w:num>
  <w:num w:numId="30">
    <w:abstractNumId w:val="10"/>
  </w:num>
  <w:num w:numId="31">
    <w:abstractNumId w:val="19"/>
  </w:num>
  <w:num w:numId="32">
    <w:abstractNumId w:val="3"/>
  </w:num>
  <w:num w:numId="33">
    <w:abstractNumId w:val="17"/>
  </w:num>
  <w:num w:numId="34">
    <w:abstractNumId w:val="36"/>
  </w:num>
  <w:num w:numId="35">
    <w:abstractNumId w:val="11"/>
  </w:num>
  <w:num w:numId="36">
    <w:abstractNumId w:val="5"/>
  </w:num>
  <w:num w:numId="37">
    <w:abstractNumId w:val="8"/>
  </w:num>
  <w:num w:numId="38">
    <w:abstractNumId w:val="8"/>
  </w:num>
  <w:num w:numId="39">
    <w:abstractNumId w:val="8"/>
  </w:num>
  <w:num w:numId="40">
    <w:abstractNumId w:val="8"/>
  </w:num>
  <w:num w:numId="41">
    <w:abstractNumId w:val="8"/>
  </w:num>
  <w:num w:numId="42">
    <w:abstractNumId w:val="8"/>
  </w:num>
  <w:num w:numId="43">
    <w:abstractNumId w:val="8"/>
  </w:num>
  <w:num w:numId="44">
    <w:abstractNumId w:val="8"/>
  </w:num>
  <w:num w:numId="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enforcement="0"/>
  <w:defaultTabStop w:val="708"/>
  <w:hyphenationZone w:val="425"/>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06B7"/>
    <w:rsid w:val="000042FF"/>
    <w:rsid w:val="0020290D"/>
    <w:rsid w:val="002C06B7"/>
    <w:rsid w:val="004A2EA1"/>
    <w:rsid w:val="006D62F6"/>
    <w:rsid w:val="006D72BC"/>
    <w:rsid w:val="00793E48"/>
    <w:rsid w:val="008B4055"/>
    <w:rsid w:val="00A90FE8"/>
    <w:rsid w:val="00AA7947"/>
    <w:rsid w:val="00B67296"/>
    <w:rsid w:val="00BC3430"/>
    <w:rsid w:val="00C33788"/>
    <w:rsid w:val="00D16314"/>
    <w:rsid w:val="00DE1478"/>
    <w:rsid w:val="00E00B8E"/>
    <w:rsid w:val="00EA5C16"/>
    <w:rsid w:val="00EC53BE"/>
    <w:rsid w:val="00ED5BA5"/>
    <w:rsid w:val="00F05957"/>
    <w:rsid w:val="00FC46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DD4640"/>
  <w15:docId w15:val="{7691EBD9-F99F-4D4B-B3AD-C93E842DA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3"/>
    <w:qFormat/>
    <w:pPr>
      <w:spacing w:before="120" w:after="120"/>
      <w:jc w:val="both"/>
    </w:pPr>
    <w:rPr>
      <w:rFonts w:ascii="Marianne" w:hAnsi="Marianne" w:cs="Arial"/>
      <w:sz w:val="22"/>
      <w:szCs w:val="24"/>
    </w:rPr>
  </w:style>
  <w:style w:type="paragraph" w:styleId="Titre1">
    <w:name w:val="heading 1"/>
    <w:basedOn w:val="Normal"/>
    <w:next w:val="Normal"/>
    <w:link w:val="Titre1Car"/>
    <w:qFormat/>
    <w:pPr>
      <w:keepNext/>
      <w:keepLines/>
      <w:pageBreakBefore/>
      <w:numPr>
        <w:numId w:val="19"/>
      </w:numPr>
      <w:pBdr>
        <w:top w:val="single" w:sz="4" w:space="2" w:color="000000"/>
        <w:bottom w:val="single" w:sz="4" w:space="2" w:color="000000"/>
      </w:pBdr>
      <w:spacing w:before="0" w:after="240"/>
      <w:jc w:val="center"/>
      <w:outlineLvl w:val="0"/>
    </w:pPr>
    <w:rPr>
      <w:rFonts w:eastAsia="MS Mincho"/>
      <w:b/>
      <w:bCs/>
      <w:caps/>
      <w:sz w:val="28"/>
      <w:szCs w:val="28"/>
    </w:rPr>
  </w:style>
  <w:style w:type="paragraph" w:styleId="Titre2">
    <w:name w:val="heading 2"/>
    <w:basedOn w:val="Normal"/>
    <w:next w:val="Normal"/>
    <w:link w:val="Titre2Car"/>
    <w:qFormat/>
    <w:pPr>
      <w:keepNext/>
      <w:numPr>
        <w:ilvl w:val="1"/>
        <w:numId w:val="19"/>
      </w:numPr>
      <w:shd w:val="pct15" w:color="auto" w:fill="auto"/>
      <w:spacing w:before="240"/>
      <w:outlineLvl w:val="1"/>
    </w:pPr>
    <w:rPr>
      <w:rFonts w:eastAsia="MS Mincho" w:cs="Times New Roman"/>
      <w:b/>
      <w:bCs/>
      <w:caps/>
      <w:szCs w:val="26"/>
    </w:rPr>
  </w:style>
  <w:style w:type="paragraph" w:styleId="Titre3">
    <w:name w:val="heading 3"/>
    <w:basedOn w:val="Normal"/>
    <w:next w:val="Normal"/>
    <w:link w:val="Titre3Car"/>
    <w:qFormat/>
    <w:pPr>
      <w:keepNext/>
      <w:numPr>
        <w:ilvl w:val="2"/>
        <w:numId w:val="19"/>
      </w:numPr>
      <w:spacing w:before="240"/>
      <w:outlineLvl w:val="2"/>
    </w:pPr>
    <w:rPr>
      <w:rFonts w:ascii="Arial Gras" w:eastAsia="MS Mincho" w:hAnsi="Arial Gras"/>
      <w:b/>
      <w:bCs/>
      <w:szCs w:val="26"/>
      <w:u w:val="single"/>
    </w:rPr>
  </w:style>
  <w:style w:type="paragraph" w:styleId="Titre4">
    <w:name w:val="heading 4"/>
    <w:basedOn w:val="Normal"/>
    <w:next w:val="Normal"/>
    <w:link w:val="Titre4Car"/>
    <w:qFormat/>
    <w:pPr>
      <w:keepNext/>
      <w:numPr>
        <w:ilvl w:val="3"/>
        <w:numId w:val="19"/>
      </w:numPr>
      <w:spacing w:before="240"/>
      <w:outlineLvl w:val="3"/>
    </w:pPr>
    <w:rPr>
      <w:rFonts w:eastAsia="MS Mincho" w:cs="Times New Roman"/>
      <w:iCs/>
      <w:spacing w:val="20"/>
      <w:szCs w:val="23"/>
      <w:u w:val="single"/>
    </w:rPr>
  </w:style>
  <w:style w:type="paragraph" w:styleId="Titre5">
    <w:name w:val="heading 5"/>
    <w:basedOn w:val="Normal"/>
    <w:next w:val="Normal"/>
    <w:link w:val="Titre5Car"/>
    <w:pPr>
      <w:numPr>
        <w:ilvl w:val="5"/>
        <w:numId w:val="14"/>
      </w:numPr>
      <w:tabs>
        <w:tab w:val="left" w:pos="1588"/>
      </w:tabs>
      <w:spacing w:before="160" w:after="160"/>
      <w:outlineLvl w:val="4"/>
    </w:pPr>
    <w:rPr>
      <w:i/>
      <w:u w:val="single"/>
    </w:rPr>
  </w:style>
  <w:style w:type="paragraph" w:styleId="Titre6">
    <w:name w:val="heading 6"/>
    <w:basedOn w:val="Normal"/>
    <w:next w:val="Normal"/>
    <w:link w:val="Titre6Car"/>
    <w:pPr>
      <w:numPr>
        <w:ilvl w:val="5"/>
        <w:numId w:val="19"/>
      </w:numPr>
      <w:spacing w:before="240" w:after="240"/>
      <w:outlineLvl w:val="5"/>
    </w:pPr>
    <w:rPr>
      <w:i/>
      <w:sz w:val="24"/>
    </w:rPr>
  </w:style>
  <w:style w:type="paragraph" w:styleId="Titre7">
    <w:name w:val="heading 7"/>
    <w:basedOn w:val="Normal"/>
    <w:next w:val="Normal"/>
    <w:link w:val="Titre7Car"/>
    <w:pPr>
      <w:keepNext/>
      <w:numPr>
        <w:ilvl w:val="6"/>
        <w:numId w:val="19"/>
      </w:numPr>
      <w:spacing w:before="720"/>
      <w:jc w:val="center"/>
      <w:outlineLvl w:val="6"/>
    </w:pPr>
    <w:rPr>
      <w:b/>
      <w:i/>
      <w:sz w:val="24"/>
    </w:rPr>
  </w:style>
  <w:style w:type="paragraph" w:styleId="Titre8">
    <w:name w:val="heading 8"/>
    <w:basedOn w:val="Normal"/>
    <w:next w:val="Normal"/>
    <w:link w:val="Titre8Car"/>
    <w:pPr>
      <w:numPr>
        <w:ilvl w:val="7"/>
        <w:numId w:val="19"/>
      </w:numPr>
      <w:spacing w:before="240" w:after="60"/>
      <w:outlineLvl w:val="7"/>
    </w:pPr>
    <w:rPr>
      <w:rFonts w:ascii="Times New Roman" w:hAnsi="Times New Roman"/>
      <w:i/>
      <w:sz w:val="24"/>
    </w:rPr>
  </w:style>
  <w:style w:type="paragraph" w:styleId="Titre9">
    <w:name w:val="heading 9"/>
    <w:basedOn w:val="Normal"/>
    <w:next w:val="Normal"/>
    <w:link w:val="Titre9Car"/>
    <w:qFormat/>
    <w:pPr>
      <w:keepNext/>
      <w:numPr>
        <w:ilvl w:val="8"/>
        <w:numId w:val="19"/>
      </w:numPr>
      <w:spacing w:before="1200"/>
      <w:jc w:val="center"/>
      <w:outlineLvl w:val="8"/>
    </w:pPr>
    <w:rPr>
      <w:b/>
      <w:smallCaps/>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365F91" w:themeColor="accent1" w:themeShade="BF"/>
      <w:sz w:val="40"/>
      <w:szCs w:val="40"/>
    </w:rPr>
  </w:style>
  <w:style w:type="character" w:customStyle="1" w:styleId="Heading2Char">
    <w:name w:val="Heading 2 Char"/>
    <w:basedOn w:val="Policepardfaut"/>
    <w:uiPriority w:val="9"/>
    <w:rPr>
      <w:rFonts w:ascii="Arial" w:eastAsia="Arial" w:hAnsi="Arial" w:cs="Arial"/>
      <w:color w:val="365F91" w:themeColor="accent1" w:themeShade="BF"/>
      <w:sz w:val="32"/>
      <w:szCs w:val="32"/>
    </w:rPr>
  </w:style>
  <w:style w:type="character" w:customStyle="1" w:styleId="Heading3Char">
    <w:name w:val="Heading 3 Char"/>
    <w:basedOn w:val="Policepardfaut"/>
    <w:uiPriority w:val="9"/>
    <w:rPr>
      <w:rFonts w:ascii="Arial" w:eastAsia="Arial" w:hAnsi="Arial" w:cs="Arial"/>
      <w:color w:val="365F91" w:themeColor="accent1" w:themeShade="BF"/>
      <w:sz w:val="28"/>
      <w:szCs w:val="28"/>
    </w:rPr>
  </w:style>
  <w:style w:type="character" w:customStyle="1" w:styleId="Heading4Char">
    <w:name w:val="Heading 4 Char"/>
    <w:basedOn w:val="Policepardfaut"/>
    <w:uiPriority w:val="9"/>
    <w:rPr>
      <w:rFonts w:ascii="Arial" w:eastAsia="Arial" w:hAnsi="Arial" w:cs="Arial"/>
      <w:i/>
      <w:iCs/>
      <w:color w:val="365F91" w:themeColor="accent1" w:themeShade="BF"/>
    </w:rPr>
  </w:style>
  <w:style w:type="character" w:customStyle="1" w:styleId="Titre5Car">
    <w:name w:val="Titre 5 Car"/>
    <w:basedOn w:val="Policepardfaut"/>
    <w:link w:val="Titre5"/>
    <w:uiPriority w:val="9"/>
    <w:rPr>
      <w:rFonts w:ascii="Arial" w:eastAsia="Arial" w:hAnsi="Arial" w:cs="Arial"/>
      <w:color w:val="365F91"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paragraph" w:styleId="Titre">
    <w:name w:val="Title"/>
    <w:basedOn w:val="Normal"/>
    <w:next w:val="Normal"/>
    <w:link w:val="TitreCar"/>
    <w:uiPriority w:val="10"/>
    <w:qFormat/>
    <w:pPr>
      <w:spacing w:after="80"/>
      <w:contextualSpacing/>
    </w:pPr>
    <w:rPr>
      <w:rFonts w:ascii="Arial" w:eastAsia="Arial" w:hAnsi="Arial"/>
      <w:spacing w:val="-10"/>
      <w:sz w:val="56"/>
      <w:szCs w:val="56"/>
    </w:rPr>
  </w:style>
  <w:style w:type="character" w:customStyle="1" w:styleId="TitreCar">
    <w:name w:val="Titre Car"/>
    <w:basedOn w:val="Policepardfaut"/>
    <w:link w:val="Titre"/>
    <w:uiPriority w:val="10"/>
    <w:rPr>
      <w:rFonts w:ascii="Arial" w:eastAsia="Arial" w:hAnsi="Arial" w:cs="Arial"/>
      <w:spacing w:val="-10"/>
      <w:sz w:val="56"/>
      <w:szCs w:val="56"/>
    </w:rPr>
  </w:style>
  <w:style w:type="character" w:customStyle="1" w:styleId="SubtitleChar">
    <w:name w:val="Subtitle Char"/>
    <w:basedOn w:val="Policepardfaut"/>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Emphaseintense">
    <w:name w:val="Intense Emphasis"/>
    <w:basedOn w:val="Policepardfaut"/>
    <w:uiPriority w:val="21"/>
    <w:qFormat/>
    <w:rPr>
      <w:i/>
      <w:iCs/>
      <w:color w:val="365F91" w:themeColor="accent1" w:themeShade="BF"/>
    </w:rPr>
  </w:style>
  <w:style w:type="paragraph" w:styleId="Citationintens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Pr>
      <w:i/>
      <w:iCs/>
      <w:color w:val="365F91" w:themeColor="accent1" w:themeShade="BF"/>
    </w:rPr>
  </w:style>
  <w:style w:type="character" w:styleId="Rfrenceintense">
    <w:name w:val="Intense Reference"/>
    <w:basedOn w:val="Policepardfaut"/>
    <w:uiPriority w:val="32"/>
    <w:qFormat/>
    <w:rPr>
      <w:b/>
      <w:bCs/>
      <w:smallCaps/>
      <w:color w:val="365F91" w:themeColor="accent1" w:themeShade="BF"/>
      <w:spacing w:val="5"/>
    </w:rPr>
  </w:style>
  <w:style w:type="paragraph" w:styleId="Sansinterligne">
    <w:name w:val="No Spacing"/>
    <w:basedOn w:val="Normal"/>
    <w:uiPriority w:val="1"/>
    <w:qFormat/>
    <w:pPr>
      <w:spacing w:after="0"/>
    </w:pPr>
  </w:style>
  <w:style w:type="character" w:styleId="Emphasepl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Titredulivre">
    <w:name w:val="Book Title"/>
    <w:basedOn w:val="Policepardfaut"/>
    <w:uiPriority w:val="33"/>
    <w:qFormat/>
    <w:rPr>
      <w:b/>
      <w:bCs/>
      <w:i/>
      <w:iCs/>
      <w:spacing w:val="5"/>
    </w:rPr>
  </w:style>
  <w:style w:type="character" w:customStyle="1" w:styleId="HeaderChar">
    <w:name w:val="Header Char"/>
    <w:basedOn w:val="Policepardfaut"/>
    <w:uiPriority w:val="99"/>
  </w:style>
  <w:style w:type="character" w:customStyle="1" w:styleId="FootnoteTextChar">
    <w:name w:val="Footnote Text Char"/>
    <w:basedOn w:val="Policepardfaut"/>
    <w:uiPriority w:val="99"/>
    <w:semiHidden/>
    <w:rPr>
      <w:sz w:val="20"/>
      <w:szCs w:val="20"/>
    </w:rPr>
  </w:style>
  <w:style w:type="character" w:customStyle="1" w:styleId="NotedefinCar">
    <w:name w:val="Note de fin Car"/>
    <w:basedOn w:val="Policepardfaut"/>
    <w:link w:val="Notedefin"/>
    <w:uiPriority w:val="99"/>
    <w:semiHidden/>
    <w:rPr>
      <w:sz w:val="20"/>
      <w:szCs w:val="20"/>
    </w:r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paragraph" w:customStyle="1" w:styleId="Annexe1">
    <w:name w:val="Annexe 1"/>
    <w:basedOn w:val="Normal"/>
    <w:next w:val="Normal"/>
    <w:pPr>
      <w:numPr>
        <w:numId w:val="10"/>
      </w:numPr>
      <w:jc w:val="center"/>
      <w:outlineLvl w:val="0"/>
    </w:pPr>
    <w:rPr>
      <w:b/>
      <w:smallCaps/>
      <w:sz w:val="28"/>
    </w:rPr>
  </w:style>
  <w:style w:type="paragraph" w:customStyle="1" w:styleId="Annexe2">
    <w:name w:val="Annexe 2"/>
    <w:basedOn w:val="Annexe1"/>
    <w:next w:val="Normal"/>
    <w:pPr>
      <w:numPr>
        <w:ilvl w:val="1"/>
      </w:numPr>
      <w:outlineLvl w:val="1"/>
    </w:pPr>
    <w:rPr>
      <w:sz w:val="20"/>
    </w:rPr>
  </w:style>
  <w:style w:type="paragraph" w:customStyle="1" w:styleId="Annexe3">
    <w:name w:val="Annexe 3"/>
    <w:basedOn w:val="Annexe2"/>
    <w:next w:val="Normal"/>
    <w:pPr>
      <w:numPr>
        <w:ilvl w:val="2"/>
      </w:numPr>
      <w:outlineLvl w:val="2"/>
    </w:pPr>
    <w:rPr>
      <w:b w:val="0"/>
      <w:i/>
    </w:rPr>
  </w:style>
  <w:style w:type="paragraph" w:styleId="Listenumros">
    <w:name w:val="List Number"/>
    <w:basedOn w:val="Normal"/>
    <w:semiHidden/>
    <w:pPr>
      <w:numPr>
        <w:numId w:val="1"/>
      </w:numPr>
    </w:pPr>
    <w:rPr>
      <w:sz w:val="24"/>
    </w:rPr>
  </w:style>
  <w:style w:type="paragraph" w:styleId="Listenumros2">
    <w:name w:val="List Number 2"/>
    <w:basedOn w:val="Normal"/>
    <w:semiHidden/>
    <w:pPr>
      <w:numPr>
        <w:numId w:val="2"/>
      </w:numPr>
    </w:pPr>
  </w:style>
  <w:style w:type="paragraph" w:styleId="Listenumros3">
    <w:name w:val="List Number 3"/>
    <w:basedOn w:val="Normal"/>
    <w:semiHidden/>
    <w:pPr>
      <w:numPr>
        <w:numId w:val="3"/>
      </w:numPr>
    </w:pPr>
    <w:rPr>
      <w:sz w:val="24"/>
    </w:rPr>
  </w:style>
  <w:style w:type="paragraph" w:styleId="Listenumros4">
    <w:name w:val="List Number 4"/>
    <w:basedOn w:val="Normal"/>
    <w:semiHidden/>
    <w:pPr>
      <w:numPr>
        <w:numId w:val="4"/>
      </w:numPr>
    </w:pPr>
    <w:rPr>
      <w:sz w:val="24"/>
    </w:rPr>
  </w:style>
  <w:style w:type="paragraph" w:styleId="Listenumros5">
    <w:name w:val="List Number 5"/>
    <w:basedOn w:val="Normal"/>
    <w:semiHidden/>
    <w:pPr>
      <w:numPr>
        <w:numId w:val="5"/>
      </w:numPr>
    </w:pPr>
    <w:rPr>
      <w:sz w:val="24"/>
    </w:rPr>
  </w:style>
  <w:style w:type="paragraph" w:styleId="Listepuces3">
    <w:name w:val="List Bullet 3"/>
    <w:basedOn w:val="Normal"/>
    <w:semiHidden/>
    <w:pPr>
      <w:numPr>
        <w:numId w:val="13"/>
      </w:numPr>
      <w:tabs>
        <w:tab w:val="clear" w:pos="360"/>
      </w:tabs>
      <w:spacing w:before="0"/>
      <w:ind w:left="1418" w:hanging="567"/>
    </w:pPr>
    <w:rPr>
      <w:lang w:eastAsia="en-US"/>
    </w:rPr>
  </w:style>
  <w:style w:type="paragraph" w:styleId="Listepuces4">
    <w:name w:val="List Bullet 4"/>
    <w:basedOn w:val="Normal"/>
    <w:semiHidden/>
    <w:pPr>
      <w:numPr>
        <w:numId w:val="6"/>
      </w:numPr>
    </w:pPr>
    <w:rPr>
      <w:sz w:val="24"/>
    </w:rPr>
  </w:style>
  <w:style w:type="paragraph" w:styleId="Listepuces5">
    <w:name w:val="List Bullet 5"/>
    <w:basedOn w:val="Normal"/>
    <w:semiHidden/>
    <w:pPr>
      <w:numPr>
        <w:numId w:val="7"/>
      </w:numPr>
    </w:pPr>
    <w:rPr>
      <w:sz w:val="24"/>
    </w:rPr>
  </w:style>
  <w:style w:type="paragraph" w:styleId="Listepuces2">
    <w:name w:val="List Bullet 2"/>
    <w:basedOn w:val="Normal"/>
    <w:semiHidden/>
    <w:pPr>
      <w:numPr>
        <w:numId w:val="15"/>
      </w:numPr>
      <w:tabs>
        <w:tab w:val="clear" w:pos="360"/>
        <w:tab w:val="left" w:pos="426"/>
      </w:tabs>
      <w:spacing w:before="240"/>
      <w:ind w:left="425" w:firstLine="0"/>
    </w:pPr>
    <w:rPr>
      <w:b/>
      <w:u w:val="single"/>
      <w:lang w:eastAsia="en-US"/>
    </w:rPr>
  </w:style>
  <w:style w:type="paragraph" w:customStyle="1" w:styleId="Listepuces1">
    <w:name w:val="Liste à puces 1"/>
    <w:basedOn w:val="Normal"/>
    <w:pPr>
      <w:numPr>
        <w:numId w:val="9"/>
      </w:numPr>
      <w:spacing w:before="60" w:after="60"/>
    </w:pPr>
  </w:style>
  <w:style w:type="paragraph" w:styleId="Commentaire">
    <w:name w:val="annotation text"/>
    <w:basedOn w:val="Normal"/>
    <w:link w:val="CommentaireCar"/>
    <w:uiPriority w:val="99"/>
    <w:qFormat/>
  </w:style>
  <w:style w:type="paragraph" w:styleId="TM1">
    <w:name w:val="toc 1"/>
    <w:basedOn w:val="Normal"/>
    <w:next w:val="Normal"/>
    <w:uiPriority w:val="39"/>
    <w:pPr>
      <w:tabs>
        <w:tab w:val="left" w:pos="1440"/>
        <w:tab w:val="right" w:pos="9639"/>
      </w:tabs>
      <w:jc w:val="left"/>
    </w:pPr>
    <w:rPr>
      <w:smallCaps/>
      <w:sz w:val="18"/>
    </w:rPr>
  </w:style>
  <w:style w:type="paragraph" w:styleId="TM2">
    <w:name w:val="toc 2"/>
    <w:basedOn w:val="Normal"/>
    <w:next w:val="Normal"/>
    <w:uiPriority w:val="39"/>
    <w:pPr>
      <w:tabs>
        <w:tab w:val="left" w:pos="709"/>
        <w:tab w:val="left" w:pos="800"/>
        <w:tab w:val="left" w:pos="880"/>
        <w:tab w:val="right" w:pos="9639"/>
      </w:tabs>
      <w:spacing w:before="0" w:after="0"/>
      <w:ind w:left="709" w:right="284" w:hanging="709"/>
      <w:jc w:val="left"/>
    </w:pPr>
    <w:rPr>
      <w:smallCaps/>
      <w:sz w:val="18"/>
      <w:szCs w:val="22"/>
    </w:rPr>
  </w:style>
  <w:style w:type="paragraph" w:styleId="TM3">
    <w:name w:val="toc 3"/>
    <w:basedOn w:val="Normal"/>
    <w:next w:val="Normal"/>
    <w:uiPriority w:val="39"/>
    <w:pPr>
      <w:tabs>
        <w:tab w:val="left" w:pos="709"/>
        <w:tab w:val="right" w:pos="9639"/>
      </w:tabs>
      <w:spacing w:before="0" w:after="0"/>
      <w:jc w:val="left"/>
    </w:pPr>
    <w:rPr>
      <w:i/>
      <w:smallCaps/>
      <w:sz w:val="18"/>
      <w:szCs w:val="22"/>
    </w:rPr>
  </w:style>
  <w:style w:type="paragraph" w:styleId="Notedebasdepage">
    <w:name w:val="footnote text"/>
    <w:basedOn w:val="Normal"/>
    <w:link w:val="NotedebasdepageCar"/>
    <w:semiHidden/>
    <w:rPr>
      <w:sz w:val="16"/>
    </w:rPr>
  </w:style>
  <w:style w:type="paragraph" w:styleId="Retraitcorpsdetexte">
    <w:name w:val="Body Text Indent"/>
    <w:basedOn w:val="Normal"/>
    <w:semiHidden/>
    <w:rPr>
      <w:sz w:val="24"/>
    </w:rPr>
  </w:style>
  <w:style w:type="character" w:styleId="Marquedecommentaire">
    <w:name w:val="annotation reference"/>
    <w:uiPriority w:val="99"/>
    <w:qFormat/>
    <w:rPr>
      <w:sz w:val="16"/>
    </w:rPr>
  </w:style>
  <w:style w:type="paragraph" w:styleId="Retraitnormal">
    <w:name w:val="Normal Indent"/>
    <w:basedOn w:val="Normal"/>
    <w:semiHidden/>
    <w:pPr>
      <w:tabs>
        <w:tab w:val="left" w:pos="567"/>
        <w:tab w:val="left" w:pos="1134"/>
        <w:tab w:val="left" w:pos="1701"/>
      </w:tabs>
      <w:ind w:left="993" w:hanging="282"/>
    </w:pPr>
  </w:style>
  <w:style w:type="paragraph" w:styleId="Objetducommentaire">
    <w:name w:val="annotation subject"/>
    <w:basedOn w:val="Commentaire"/>
    <w:next w:val="Commentaire"/>
    <w:pPr>
      <w:spacing w:before="60" w:after="60" w:line="312" w:lineRule="auto"/>
    </w:pPr>
    <w:rPr>
      <w:b/>
      <w:sz w:val="20"/>
    </w:rPr>
  </w:style>
  <w:style w:type="paragraph" w:styleId="Corpsdetexte3">
    <w:name w:val="Body Text 3"/>
    <w:basedOn w:val="Normal"/>
    <w:rPr>
      <w:caps/>
      <w:sz w:val="24"/>
    </w:rPr>
  </w:style>
  <w:style w:type="paragraph" w:styleId="En-tte">
    <w:name w:val="header"/>
    <w:basedOn w:val="Normal"/>
    <w:link w:val="En-tteCar"/>
    <w:uiPriority w:val="99"/>
    <w:pPr>
      <w:tabs>
        <w:tab w:val="center" w:pos="4536"/>
        <w:tab w:val="right" w:pos="9072"/>
      </w:tabs>
      <w:spacing w:before="40" w:after="40"/>
    </w:pPr>
    <w:rPr>
      <w:i/>
      <w:sz w:val="16"/>
    </w:rPr>
  </w:style>
  <w:style w:type="character" w:styleId="Numrodepage">
    <w:name w:val="page number"/>
    <w:semiHidden/>
    <w:rPr>
      <w:rFonts w:ascii="Verdana" w:hAnsi="Verdana"/>
    </w:rPr>
  </w:style>
  <w:style w:type="paragraph" w:styleId="Pieddepage">
    <w:name w:val="footer"/>
    <w:basedOn w:val="Normal"/>
    <w:link w:val="PieddepageCar"/>
    <w:uiPriority w:val="99"/>
    <w:pPr>
      <w:tabs>
        <w:tab w:val="center" w:pos="4536"/>
        <w:tab w:val="right" w:pos="9072"/>
      </w:tabs>
      <w:spacing w:before="40" w:after="40"/>
    </w:pPr>
    <w:rPr>
      <w:i/>
      <w:sz w:val="16"/>
    </w:rPr>
  </w:style>
  <w:style w:type="paragraph" w:styleId="Retraitcorpsdetexte2">
    <w:name w:val="Body Text Indent 2"/>
    <w:basedOn w:val="Normal"/>
    <w:semiHidden/>
    <w:pPr>
      <w:ind w:firstLine="708"/>
    </w:pPr>
    <w:rPr>
      <w:rFonts w:ascii="Times New Roman" w:hAnsi="Times New Roman"/>
      <w:sz w:val="24"/>
    </w:rPr>
  </w:style>
  <w:style w:type="paragraph" w:customStyle="1" w:styleId="n">
    <w:name w:val="n"/>
    <w:basedOn w:val="Normal"/>
    <w:rPr>
      <w:rFonts w:ascii="Times New Roman" w:hAnsi="Times New Roman"/>
      <w:sz w:val="24"/>
    </w:rPr>
  </w:style>
  <w:style w:type="paragraph" w:styleId="Listepuces">
    <w:name w:val="List Bullet"/>
    <w:basedOn w:val="Normal"/>
    <w:semiHidden/>
    <w:pPr>
      <w:numPr>
        <w:numId w:val="8"/>
      </w:numPr>
      <w:spacing w:before="20" w:after="20"/>
      <w:ind w:left="357" w:hanging="357"/>
    </w:pPr>
  </w:style>
  <w:style w:type="paragraph" w:customStyle="1" w:styleId="Corpsdetexte21">
    <w:name w:val="Corps de texte 21"/>
    <w:basedOn w:val="Normal"/>
    <w:rPr>
      <w:sz w:val="24"/>
    </w:rPr>
  </w:style>
  <w:style w:type="paragraph" w:styleId="Corpsdetexte">
    <w:name w:val="Body Text"/>
    <w:basedOn w:val="Normal"/>
    <w:semiHidden/>
    <w:pPr>
      <w:jc w:val="center"/>
    </w:pPr>
  </w:style>
  <w:style w:type="paragraph" w:styleId="Retraitcorpsdetexte3">
    <w:name w:val="Body Text Indent 3"/>
    <w:basedOn w:val="Normal"/>
    <w:semiHidden/>
    <w:pPr>
      <w:ind w:left="426"/>
    </w:pPr>
    <w:rPr>
      <w:sz w:val="20"/>
    </w:rPr>
  </w:style>
  <w:style w:type="character" w:styleId="Lienhypertexte">
    <w:name w:val="Hyperlink"/>
    <w:uiPriority w:val="99"/>
    <w:rPr>
      <w:color w:val="0000FF"/>
      <w:u w:val="single"/>
    </w:rPr>
  </w:style>
  <w:style w:type="paragraph" w:customStyle="1" w:styleId="Enum1Titre">
    <w:name w:val="Enum1 Titre"/>
    <w:basedOn w:val="Normal"/>
    <w:pPr>
      <w:numPr>
        <w:numId w:val="11"/>
      </w:numPr>
    </w:pPr>
  </w:style>
  <w:style w:type="paragraph" w:styleId="NormalWeb">
    <w:name w:val="Normal (Web)"/>
    <w:basedOn w:val="Normal"/>
    <w:semiHidden/>
    <w:pPr>
      <w:spacing w:before="100" w:beforeAutospacing="1" w:after="119"/>
      <w:jc w:val="left"/>
    </w:pPr>
    <w:rPr>
      <w:rFonts w:ascii="Times New Roman" w:hAnsi="Times New Roman"/>
      <w:sz w:val="24"/>
    </w:rPr>
  </w:style>
  <w:style w:type="paragraph" w:customStyle="1" w:styleId="StylePremireligne063cm">
    <w:name w:val="Style Première ligne : 063 cm"/>
    <w:basedOn w:val="Normal"/>
    <w:link w:val="StylePremireligne063cmCar"/>
    <w:rPr>
      <w:rFonts w:cs="Times New Roman"/>
      <w:lang w:eastAsia="en-US"/>
    </w:rPr>
  </w:style>
  <w:style w:type="character" w:styleId="Lienhypertextesuivivisit">
    <w:name w:val="FollowedHyperlink"/>
    <w:semiHidden/>
    <w:rPr>
      <w:color w:val="800080"/>
      <w:u w:val="single"/>
    </w:rPr>
  </w:style>
  <w:style w:type="paragraph" w:styleId="Corpsdetexte2">
    <w:name w:val="Body Text 2"/>
    <w:basedOn w:val="Normal"/>
    <w:semiHidden/>
  </w:style>
  <w:style w:type="paragraph" w:customStyle="1" w:styleId="EF">
    <w:name w:val="EF"/>
    <w:basedOn w:val="Normal"/>
    <w:pPr>
      <w:tabs>
        <w:tab w:val="left" w:pos="1260"/>
      </w:tabs>
      <w:spacing w:before="240" w:after="240"/>
      <w:ind w:left="180" w:firstLine="540"/>
    </w:pPr>
    <w:rPr>
      <w:rFonts w:ascii="Times New Roman" w:hAnsi="Times New Roman"/>
      <w:bCs/>
      <w:sz w:val="24"/>
    </w:rPr>
  </w:style>
  <w:style w:type="paragraph" w:customStyle="1" w:styleId="TITRE40">
    <w:name w:val="TITRE 4"/>
    <w:basedOn w:val="Titre4"/>
    <w:link w:val="TITRE4Car0"/>
    <w:pPr>
      <w:numPr>
        <w:numId w:val="14"/>
      </w:numPr>
    </w:pPr>
  </w:style>
  <w:style w:type="paragraph" w:styleId="TM4">
    <w:name w:val="toc 4"/>
    <w:basedOn w:val="Normal"/>
    <w:next w:val="Normal"/>
    <w:semiHidden/>
    <w:pPr>
      <w:spacing w:before="0" w:after="0"/>
      <w:ind w:left="720"/>
      <w:jc w:val="left"/>
    </w:pPr>
    <w:rPr>
      <w:rFonts w:ascii="Times New Roman" w:hAnsi="Times New Roman"/>
      <w:sz w:val="24"/>
    </w:rPr>
  </w:style>
  <w:style w:type="paragraph" w:styleId="TM5">
    <w:name w:val="toc 5"/>
    <w:basedOn w:val="Normal"/>
    <w:next w:val="Normal"/>
    <w:semiHidden/>
    <w:pPr>
      <w:spacing w:before="0" w:after="0"/>
      <w:ind w:left="960"/>
      <w:jc w:val="left"/>
    </w:pPr>
    <w:rPr>
      <w:rFonts w:ascii="Times New Roman" w:hAnsi="Times New Roman"/>
      <w:sz w:val="24"/>
    </w:rPr>
  </w:style>
  <w:style w:type="paragraph" w:styleId="TM6">
    <w:name w:val="toc 6"/>
    <w:basedOn w:val="Normal"/>
    <w:next w:val="Normal"/>
    <w:semiHidden/>
    <w:pPr>
      <w:spacing w:before="0" w:after="0"/>
      <w:ind w:left="1200"/>
      <w:jc w:val="left"/>
    </w:pPr>
    <w:rPr>
      <w:rFonts w:ascii="Times New Roman" w:hAnsi="Times New Roman"/>
      <w:sz w:val="24"/>
    </w:rPr>
  </w:style>
  <w:style w:type="paragraph" w:styleId="TM7">
    <w:name w:val="toc 7"/>
    <w:basedOn w:val="Normal"/>
    <w:next w:val="Normal"/>
    <w:semiHidden/>
    <w:pPr>
      <w:spacing w:before="0" w:after="0"/>
      <w:ind w:left="1440"/>
      <w:jc w:val="left"/>
    </w:pPr>
    <w:rPr>
      <w:rFonts w:ascii="Times New Roman" w:hAnsi="Times New Roman"/>
      <w:sz w:val="24"/>
    </w:rPr>
  </w:style>
  <w:style w:type="paragraph" w:styleId="TM8">
    <w:name w:val="toc 8"/>
    <w:basedOn w:val="Normal"/>
    <w:next w:val="Normal"/>
    <w:semiHidden/>
    <w:pPr>
      <w:spacing w:before="0" w:after="0"/>
      <w:ind w:left="1680"/>
      <w:jc w:val="left"/>
    </w:pPr>
    <w:rPr>
      <w:rFonts w:ascii="Times New Roman" w:hAnsi="Times New Roman"/>
      <w:sz w:val="24"/>
    </w:rPr>
  </w:style>
  <w:style w:type="paragraph" w:styleId="TM9">
    <w:name w:val="toc 9"/>
    <w:basedOn w:val="Normal"/>
    <w:next w:val="Normal"/>
    <w:semiHidden/>
    <w:pPr>
      <w:spacing w:before="0" w:after="0"/>
      <w:ind w:left="1920"/>
      <w:jc w:val="left"/>
    </w:pPr>
    <w:rPr>
      <w:rFonts w:ascii="Times New Roman" w:hAnsi="Times New Roman"/>
      <w:sz w:val="24"/>
    </w:rPr>
  </w:style>
  <w:style w:type="paragraph" w:customStyle="1" w:styleId="TitreArticle">
    <w:name w:val="Titre Article"/>
    <w:basedOn w:val="Normal"/>
    <w:pPr>
      <w:pageBreakBefore/>
      <w:pBdr>
        <w:top w:val="single" w:sz="4" w:space="15" w:color="000000"/>
        <w:bottom w:val="single" w:sz="4" w:space="15" w:color="000000"/>
      </w:pBdr>
      <w:tabs>
        <w:tab w:val="num" w:pos="1209"/>
        <w:tab w:val="left" w:pos="1260"/>
      </w:tabs>
      <w:spacing w:before="240" w:after="500"/>
      <w:ind w:left="1209" w:hanging="360"/>
      <w:jc w:val="center"/>
    </w:pPr>
    <w:rPr>
      <w:rFonts w:ascii="Times New Roman" w:hAnsi="Times New Roman"/>
      <w:b/>
      <w:smallCaps/>
      <w:sz w:val="26"/>
      <w:szCs w:val="26"/>
    </w:rPr>
  </w:style>
  <w:style w:type="paragraph" w:customStyle="1" w:styleId="TITRE60">
    <w:name w:val="TITRE 6"/>
    <w:basedOn w:val="Titre5"/>
    <w:pPr>
      <w:numPr>
        <w:ilvl w:val="4"/>
      </w:numPr>
      <w:tabs>
        <w:tab w:val="left" w:pos="1418"/>
      </w:tabs>
    </w:pPr>
    <w:rPr>
      <w:i w:val="0"/>
    </w:rPr>
  </w:style>
  <w:style w:type="paragraph" w:styleId="Textedebulles">
    <w:name w:val="Balloon Text"/>
    <w:basedOn w:val="Normal"/>
    <w:semiHidden/>
    <w:rPr>
      <w:rFonts w:ascii="Tahoma" w:hAnsi="Tahoma" w:cs="Wingdings"/>
      <w:sz w:val="16"/>
      <w:szCs w:val="16"/>
    </w:rPr>
  </w:style>
  <w:style w:type="paragraph" w:customStyle="1" w:styleId="Style1">
    <w:name w:val="Style1"/>
    <w:basedOn w:val="Titre1"/>
    <w:pPr>
      <w:ind w:left="113" w:hanging="113"/>
    </w:pPr>
  </w:style>
  <w:style w:type="character" w:styleId="lev">
    <w:name w:val="Strong"/>
    <w:qFormat/>
    <w:rPr>
      <w:b/>
      <w:bCs/>
    </w:rPr>
  </w:style>
  <w:style w:type="paragraph" w:styleId="Date">
    <w:name w:val="Date"/>
    <w:basedOn w:val="Normal"/>
    <w:next w:val="Normal"/>
    <w:semiHidden/>
    <w:pPr>
      <w:spacing w:before="100" w:after="100"/>
      <w:ind w:firstLine="709"/>
    </w:pPr>
    <w:rPr>
      <w:rFonts w:ascii="Times New Roman" w:hAnsi="Times New Roman"/>
      <w:sz w:val="24"/>
    </w:rPr>
  </w:style>
  <w:style w:type="paragraph" w:customStyle="1" w:styleId="Rpertoire">
    <w:name w:val="Répertoire"/>
    <w:basedOn w:val="Normal"/>
    <w:pPr>
      <w:suppressLineNumbers/>
      <w:spacing w:before="100" w:after="100"/>
      <w:ind w:firstLine="709"/>
    </w:pPr>
    <w:rPr>
      <w:rFonts w:ascii="Times New Roman" w:hAnsi="Times New Roman" w:cs="Wingdings"/>
      <w:sz w:val="24"/>
      <w:lang w:eastAsia="ar-SA"/>
    </w:rPr>
  </w:style>
  <w:style w:type="paragraph" w:styleId="Adresseexpditeur">
    <w:name w:val="envelope return"/>
    <w:basedOn w:val="Normal"/>
    <w:semiHidden/>
    <w:pPr>
      <w:spacing w:before="100" w:after="100"/>
      <w:ind w:firstLine="709"/>
    </w:pPr>
  </w:style>
  <w:style w:type="paragraph" w:styleId="Lgende">
    <w:name w:val="caption"/>
    <w:basedOn w:val="Normal"/>
    <w:next w:val="Normal"/>
    <w:rPr>
      <w:b/>
    </w:rPr>
  </w:style>
  <w:style w:type="paragraph" w:customStyle="1" w:styleId="rdo1">
    <w:name w:val="rdo 1"/>
    <w:basedOn w:val="Titre1"/>
    <w:pPr>
      <w:keepNext w:val="0"/>
      <w:pBdr>
        <w:top w:val="single" w:sz="4" w:space="12" w:color="000000"/>
        <w:bottom w:val="single" w:sz="4" w:space="12" w:color="000000"/>
      </w:pBdr>
      <w:spacing w:before="360" w:after="360"/>
    </w:pPr>
    <w:rPr>
      <w:sz w:val="30"/>
    </w:rPr>
  </w:style>
  <w:style w:type="paragraph" w:customStyle="1" w:styleId="Paragraphe">
    <w:name w:val="Paragraphe"/>
    <w:basedOn w:val="Normal"/>
    <w:link w:val="ParagrapheCar"/>
    <w:pPr>
      <w:spacing w:after="0"/>
      <w:ind w:left="567"/>
    </w:pPr>
    <w:rPr>
      <w:rFonts w:ascii="Times New Roman" w:hAnsi="Times New Roman"/>
      <w:sz w:val="24"/>
    </w:rPr>
  </w:style>
  <w:style w:type="paragraph" w:customStyle="1" w:styleId="espav1">
    <w:name w:val="espav1"/>
    <w:basedOn w:val="Normal"/>
    <w:pPr>
      <w:spacing w:before="100" w:beforeAutospacing="1" w:after="100" w:afterAutospacing="1"/>
      <w:jc w:val="left"/>
    </w:pPr>
    <w:rPr>
      <w:rFonts w:ascii="Times New Roman" w:hAnsi="Times New Roman"/>
      <w:sz w:val="24"/>
    </w:rPr>
  </w:style>
  <w:style w:type="paragraph" w:customStyle="1" w:styleId="EspAv05">
    <w:name w:val="EspAv 0.5"/>
    <w:basedOn w:val="Normal"/>
    <w:pPr>
      <w:keepLines/>
      <w:spacing w:after="0"/>
    </w:pPr>
    <w:rPr>
      <w:rFonts w:ascii="Times New Roman" w:hAnsi="Times New Roman"/>
      <w:sz w:val="24"/>
    </w:rPr>
  </w:style>
  <w:style w:type="paragraph" w:customStyle="1" w:styleId="puces">
    <w:name w:val="puces"/>
    <w:basedOn w:val="Normal"/>
    <w:pPr>
      <w:numPr>
        <w:numId w:val="12"/>
      </w:numPr>
      <w:spacing w:before="80" w:after="80"/>
    </w:pPr>
  </w:style>
  <w:style w:type="paragraph" w:customStyle="1" w:styleId="Standard">
    <w:name w:val="Standard"/>
    <w:pPr>
      <w:ind w:firstLine="709"/>
      <w:jc w:val="both"/>
    </w:pPr>
    <w:rPr>
      <w:sz w:val="24"/>
      <w:lang w:eastAsia="zh-CN"/>
    </w:rPr>
  </w:style>
  <w:style w:type="paragraph" w:customStyle="1" w:styleId="N1">
    <w:name w:val="N1"/>
    <w:basedOn w:val="Normal"/>
    <w:pPr>
      <w:spacing w:before="0" w:after="0"/>
      <w:ind w:firstLine="709"/>
    </w:pPr>
    <w:rPr>
      <w:rFonts w:ascii="Times New Roman" w:hAnsi="Times New Roman"/>
      <w:sz w:val="24"/>
      <w:lang w:eastAsia="ar-SA"/>
    </w:rPr>
  </w:style>
  <w:style w:type="paragraph" w:customStyle="1" w:styleId="Item2">
    <w:name w:val="Item 2"/>
    <w:basedOn w:val="Normal"/>
    <w:pPr>
      <w:tabs>
        <w:tab w:val="num" w:pos="360"/>
        <w:tab w:val="left" w:pos="993"/>
      </w:tabs>
      <w:spacing w:before="50"/>
      <w:ind w:left="360" w:hanging="360"/>
    </w:pPr>
    <w:rPr>
      <w:rFonts w:ascii="Times New Roman" w:hAnsi="Times New Roman"/>
      <w:sz w:val="24"/>
    </w:rPr>
  </w:style>
  <w:style w:type="paragraph" w:customStyle="1" w:styleId="Corpsdetexte31">
    <w:name w:val="Corps de texte 31"/>
    <w:basedOn w:val="Normal"/>
    <w:pPr>
      <w:spacing w:before="80" w:after="80"/>
      <w:jc w:val="left"/>
    </w:pPr>
    <w:rPr>
      <w:rFonts w:ascii="Times New Roman" w:hAnsi="Times New Roman"/>
      <w:caps/>
      <w:sz w:val="24"/>
    </w:rPr>
  </w:style>
  <w:style w:type="paragraph" w:styleId="TitreTR">
    <w:name w:val="toa heading"/>
    <w:basedOn w:val="Normal"/>
    <w:next w:val="Normal"/>
    <w:semiHidden/>
    <w:pPr>
      <w:spacing w:after="100"/>
      <w:ind w:firstLine="709"/>
    </w:pPr>
    <w:rPr>
      <w:b/>
      <w:sz w:val="24"/>
    </w:rPr>
  </w:style>
  <w:style w:type="paragraph" w:styleId="Normalcentr">
    <w:name w:val="Block Text"/>
    <w:basedOn w:val="Normal"/>
    <w:semiHidden/>
    <w:pPr>
      <w:ind w:left="567" w:right="708"/>
    </w:pPr>
    <w:rPr>
      <w:i/>
      <w:iCs/>
    </w:rPr>
  </w:style>
  <w:style w:type="paragraph" w:customStyle="1" w:styleId="BodyText21">
    <w:name w:val="Body Text 21"/>
    <w:basedOn w:val="Normal"/>
    <w:pPr>
      <w:widowControl w:val="0"/>
      <w:spacing w:before="80" w:after="80"/>
      <w:ind w:firstLine="709"/>
    </w:pPr>
    <w:rPr>
      <w:rFonts w:ascii="Times New Roman" w:hAnsi="Times New Roman"/>
      <w:sz w:val="24"/>
    </w:rPr>
  </w:style>
  <w:style w:type="paragraph" w:customStyle="1" w:styleId="Normal2">
    <w:name w:val="Normal 2"/>
    <w:basedOn w:val="Normal"/>
    <w:pPr>
      <w:spacing w:before="0" w:after="0"/>
      <w:jc w:val="left"/>
    </w:pPr>
    <w:rPr>
      <w:rFonts w:ascii="Times New Roman" w:hAnsi="Times New Roman"/>
    </w:rPr>
  </w:style>
  <w:style w:type="character" w:customStyle="1" w:styleId="code">
    <w:name w:val="code"/>
    <w:basedOn w:val="Policepardfaut"/>
  </w:style>
  <w:style w:type="paragraph" w:customStyle="1" w:styleId="Fauxparagraphe">
    <w:name w:val="Faux paragraphe"/>
    <w:basedOn w:val="Normal"/>
    <w:pPr>
      <w:widowControl w:val="0"/>
      <w:spacing w:before="0" w:after="0"/>
    </w:pPr>
    <w:rPr>
      <w:rFonts w:ascii="CG Times (WN)" w:hAnsi="CG Times (WN)"/>
      <w:sz w:val="24"/>
    </w:rPr>
  </w:style>
  <w:style w:type="paragraph" w:customStyle="1" w:styleId="EntLogo">
    <w:name w:val="EntLogo"/>
    <w:basedOn w:val="Normal"/>
    <w:next w:val="Normal"/>
    <w:pPr>
      <w:spacing w:before="0" w:after="0"/>
    </w:pPr>
    <w:rPr>
      <w:rFonts w:ascii="Times New Roman" w:hAnsi="Times New Roman"/>
      <w:bCs/>
      <w:sz w:val="24"/>
    </w:rPr>
  </w:style>
  <w:style w:type="character" w:styleId="Appelnotedebasdep">
    <w:name w:val="footnote reference"/>
    <w:uiPriority w:val="18"/>
    <w:rPr>
      <w:vertAlign w:val="superscript"/>
    </w:rPr>
  </w:style>
  <w:style w:type="paragraph" w:customStyle="1" w:styleId="Pagedegarde1">
    <w:name w:val="Page de garde 1"/>
    <w:basedOn w:val="Normal"/>
    <w:next w:val="Normal"/>
    <w:pPr>
      <w:spacing w:before="0"/>
    </w:pPr>
    <w:rPr>
      <w:rFonts w:ascii="Times New Roman" w:hAnsi="Times New Roman"/>
      <w:bCs/>
      <w:smallCaps/>
      <w:sz w:val="16"/>
      <w:szCs w:val="16"/>
    </w:rPr>
  </w:style>
  <w:style w:type="paragraph" w:customStyle="1" w:styleId="puce1">
    <w:name w:val="puce 1"/>
    <w:basedOn w:val="Normal"/>
    <w:pPr>
      <w:keepLines/>
      <w:widowControl w:val="0"/>
    </w:pPr>
    <w:rPr>
      <w:rFonts w:ascii="Times New Roman" w:hAnsi="Times New Roman"/>
    </w:rPr>
  </w:style>
  <w:style w:type="paragraph" w:customStyle="1" w:styleId="Default">
    <w:name w:val="Default"/>
    <w:rPr>
      <w:color w:val="000000"/>
      <w:sz w:val="24"/>
    </w:rPr>
  </w:style>
  <w:style w:type="paragraph" w:styleId="PrformatHTML">
    <w:name w:val="HTML Preformatted"/>
    <w:basedOn w:val="Normal"/>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pPr>
    <w:rPr>
      <w:rFonts w:ascii="Arial Unicode MS" w:eastAsia="Arial Unicode MS" w:hAnsi="Arial Unicode MS" w:cs="Arial Unicode MS"/>
    </w:rPr>
  </w:style>
  <w:style w:type="paragraph" w:styleId="Notedefin">
    <w:name w:val="endnote text"/>
    <w:basedOn w:val="Normal"/>
    <w:link w:val="NotedefinCar"/>
    <w:semiHidden/>
    <w:unhideWhenUsed/>
  </w:style>
  <w:style w:type="character" w:customStyle="1" w:styleId="CarCar">
    <w:name w:val="Car Car"/>
    <w:semiHidden/>
    <w:rPr>
      <w:rFonts w:ascii="Arial" w:hAnsi="Arial"/>
    </w:rPr>
  </w:style>
  <w:style w:type="character" w:styleId="Appeldenotedefin">
    <w:name w:val="endnote reference"/>
    <w:semiHidden/>
    <w:unhideWhenUsed/>
    <w:rPr>
      <w:vertAlign w:val="superscript"/>
    </w:rPr>
  </w:style>
  <w:style w:type="paragraph" w:styleId="Paragraphedeliste">
    <w:name w:val="List Paragraph"/>
    <w:basedOn w:val="Normal"/>
    <w:link w:val="ParagraphedelisteCar"/>
    <w:qFormat/>
    <w:pPr>
      <w:ind w:left="708"/>
    </w:pPr>
    <w:rPr>
      <w:rFonts w:eastAsia="Calibri"/>
    </w:rPr>
  </w:style>
  <w:style w:type="paragraph" w:customStyle="1" w:styleId="Style2">
    <w:name w:val="Style2"/>
    <w:basedOn w:val="TITRE40"/>
    <w:link w:val="Style2Car"/>
    <w:qFormat/>
  </w:style>
  <w:style w:type="table" w:styleId="Grilledutableau">
    <w:name w:val="Table Grid"/>
    <w:basedOn w:val="TableauNormal"/>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itre4Car">
    <w:name w:val="Titre 4 Car"/>
    <w:link w:val="Titre4"/>
    <w:rPr>
      <w:rFonts w:ascii="Marianne" w:eastAsia="MS Mincho" w:hAnsi="Marianne"/>
      <w:iCs/>
      <w:spacing w:val="20"/>
      <w:sz w:val="22"/>
      <w:szCs w:val="23"/>
      <w:u w:val="single"/>
    </w:rPr>
  </w:style>
  <w:style w:type="character" w:customStyle="1" w:styleId="TITRE4Car0">
    <w:name w:val="TITRE 4 Car"/>
    <w:link w:val="TITRE40"/>
    <w:rPr>
      <w:rFonts w:ascii="Marianne" w:eastAsia="MS Mincho" w:hAnsi="Marianne"/>
      <w:iCs/>
      <w:spacing w:val="20"/>
      <w:sz w:val="22"/>
      <w:szCs w:val="23"/>
      <w:u w:val="single"/>
    </w:rPr>
  </w:style>
  <w:style w:type="character" w:customStyle="1" w:styleId="Style2Car">
    <w:name w:val="Style2 Car"/>
    <w:basedOn w:val="TITRE4Car0"/>
    <w:link w:val="Style2"/>
    <w:rPr>
      <w:rFonts w:ascii="Marianne" w:eastAsia="MS Mincho" w:hAnsi="Marianne"/>
      <w:iCs/>
      <w:spacing w:val="20"/>
      <w:sz w:val="22"/>
      <w:szCs w:val="23"/>
      <w:u w:val="single"/>
    </w:rPr>
  </w:style>
  <w:style w:type="paragraph" w:customStyle="1" w:styleId="Style3">
    <w:name w:val="Style3"/>
    <w:basedOn w:val="TITRE40"/>
    <w:link w:val="Style3Car"/>
  </w:style>
  <w:style w:type="character" w:customStyle="1" w:styleId="cattexte">
    <w:name w:val="cattexte"/>
    <w:basedOn w:val="Policepardfaut"/>
  </w:style>
  <w:style w:type="character" w:customStyle="1" w:styleId="Style3Car">
    <w:name w:val="Style3 Car"/>
    <w:basedOn w:val="TITRE4Car0"/>
    <w:link w:val="Style3"/>
    <w:rPr>
      <w:rFonts w:ascii="Marianne" w:eastAsia="MS Mincho" w:hAnsi="Marianne"/>
      <w:iCs/>
      <w:spacing w:val="20"/>
      <w:sz w:val="22"/>
      <w:szCs w:val="23"/>
      <w:u w:val="single"/>
    </w:rPr>
  </w:style>
  <w:style w:type="paragraph" w:styleId="Rvision">
    <w:name w:val="Revision"/>
    <w:hidden/>
    <w:uiPriority w:val="99"/>
    <w:semiHidden/>
    <w:rPr>
      <w:rFonts w:ascii="Arial" w:hAnsi="Arial"/>
    </w:rPr>
  </w:style>
  <w:style w:type="paragraph" w:customStyle="1" w:styleId="CommentaireBAJ">
    <w:name w:val="Commentaire BAJ"/>
    <w:basedOn w:val="Normal"/>
    <w:link w:val="CommentaireBAJCar"/>
    <w:qFormat/>
    <w:pPr>
      <w:spacing w:before="0" w:after="0"/>
    </w:pPr>
    <w:rPr>
      <w:rFonts w:cs="Times New Roman"/>
      <w:i/>
      <w:color w:val="7030A0"/>
    </w:rPr>
  </w:style>
  <w:style w:type="paragraph" w:customStyle="1" w:styleId="western">
    <w:name w:val="western"/>
    <w:basedOn w:val="Normal"/>
    <w:pPr>
      <w:spacing w:before="62" w:after="62" w:line="312" w:lineRule="auto"/>
      <w:jc w:val="center"/>
    </w:pPr>
    <w:rPr>
      <w:b/>
      <w:bCs/>
      <w:color w:val="000000"/>
      <w:sz w:val="28"/>
      <w:szCs w:val="28"/>
    </w:rPr>
  </w:style>
  <w:style w:type="character" w:customStyle="1" w:styleId="CommentaireBAJCar">
    <w:name w:val="Commentaire BAJ Car"/>
    <w:link w:val="CommentaireBAJ"/>
    <w:qFormat/>
    <w:rPr>
      <w:rFonts w:ascii="Arial" w:hAnsi="Arial" w:cs="Arial"/>
      <w:i/>
      <w:color w:val="7030A0"/>
      <w:sz w:val="22"/>
      <w:szCs w:val="24"/>
    </w:rPr>
  </w:style>
  <w:style w:type="paragraph" w:customStyle="1" w:styleId="Adresse">
    <w:name w:val="Adresse"/>
    <w:basedOn w:val="Normal"/>
    <w:link w:val="AdresseCar"/>
    <w:uiPriority w:val="4"/>
    <w:qFormat/>
    <w:pPr>
      <w:spacing w:before="0" w:after="0"/>
      <w:ind w:left="567"/>
      <w:jc w:val="center"/>
    </w:pPr>
    <w:rPr>
      <w:rFonts w:cs="Times New Roman"/>
      <w:caps/>
    </w:rPr>
  </w:style>
  <w:style w:type="paragraph" w:customStyle="1" w:styleId="Commentaireviolet">
    <w:name w:val="Commentaire violet"/>
    <w:basedOn w:val="Normal"/>
    <w:link w:val="CommentairevioletCar"/>
    <w:uiPriority w:val="5"/>
    <w:pPr>
      <w:spacing w:before="0" w:after="0"/>
    </w:pPr>
    <w:rPr>
      <w:rFonts w:eastAsia="MS Mincho" w:cs="Times New Roman"/>
      <w:i/>
      <w:color w:val="7030A0"/>
    </w:rPr>
  </w:style>
  <w:style w:type="character" w:customStyle="1" w:styleId="AdresseCar">
    <w:name w:val="Adresse Car"/>
    <w:link w:val="Adresse"/>
    <w:uiPriority w:val="4"/>
    <w:rPr>
      <w:rFonts w:ascii="Arial" w:hAnsi="Arial" w:cs="Arial"/>
      <w:caps/>
      <w:sz w:val="22"/>
      <w:szCs w:val="24"/>
    </w:rPr>
  </w:style>
  <w:style w:type="character" w:customStyle="1" w:styleId="CommentairevioletCar">
    <w:name w:val="Commentaire violet Car"/>
    <w:link w:val="Commentaireviolet"/>
    <w:uiPriority w:val="5"/>
    <w:rPr>
      <w:rFonts w:ascii="Arial" w:eastAsia="MS Mincho" w:hAnsi="Arial" w:cs="Arial"/>
      <w:i/>
      <w:color w:val="7030A0"/>
      <w:sz w:val="22"/>
      <w:szCs w:val="24"/>
    </w:rPr>
  </w:style>
  <w:style w:type="character" w:customStyle="1" w:styleId="Titre2Car">
    <w:name w:val="Titre 2 Car"/>
    <w:link w:val="Titre2"/>
    <w:rPr>
      <w:rFonts w:ascii="Marianne" w:eastAsia="MS Mincho" w:hAnsi="Marianne"/>
      <w:b/>
      <w:bCs/>
      <w:caps/>
      <w:sz w:val="22"/>
      <w:szCs w:val="26"/>
      <w:shd w:val="pct15" w:color="auto" w:fill="auto"/>
    </w:rPr>
  </w:style>
  <w:style w:type="paragraph" w:styleId="Sous-titre">
    <w:name w:val="Subtitle"/>
    <w:basedOn w:val="Normal"/>
    <w:link w:val="Sous-titreCar"/>
    <w:pPr>
      <w:spacing w:after="60"/>
      <w:jc w:val="center"/>
      <w:outlineLvl w:val="1"/>
    </w:pPr>
    <w:rPr>
      <w:rFonts w:cs="Times New Roman"/>
    </w:rPr>
  </w:style>
  <w:style w:type="character" w:customStyle="1" w:styleId="Sous-titreCar">
    <w:name w:val="Sous-titre Car"/>
    <w:link w:val="Sous-titre"/>
    <w:rPr>
      <w:rFonts w:ascii="Arial" w:hAnsi="Arial" w:cs="Arial"/>
      <w:sz w:val="22"/>
      <w:szCs w:val="24"/>
    </w:rPr>
  </w:style>
  <w:style w:type="paragraph" w:customStyle="1" w:styleId="2Listetirets">
    <w:name w:val="2 Liste tirets"/>
    <w:basedOn w:val="Normal"/>
    <w:link w:val="2ListetiretsCar"/>
    <w:qFormat/>
    <w:pPr>
      <w:numPr>
        <w:numId w:val="20"/>
      </w:numPr>
      <w:spacing w:before="0"/>
    </w:pPr>
    <w:rPr>
      <w:rFonts w:cs="Times New Roman"/>
    </w:rPr>
  </w:style>
  <w:style w:type="character" w:customStyle="1" w:styleId="2ListetiretsCar">
    <w:name w:val="2 Liste tirets Car"/>
    <w:link w:val="2Listetirets"/>
    <w:qFormat/>
    <w:rPr>
      <w:rFonts w:ascii="Marianne" w:hAnsi="Marianne"/>
      <w:sz w:val="22"/>
      <w:szCs w:val="24"/>
    </w:rPr>
  </w:style>
  <w:style w:type="paragraph" w:customStyle="1" w:styleId="2Listeflches">
    <w:name w:val="2 Liste flèches"/>
    <w:basedOn w:val="Normal"/>
    <w:link w:val="2ListeflchesCar"/>
    <w:qFormat/>
    <w:pPr>
      <w:numPr>
        <w:numId w:val="21"/>
      </w:numPr>
      <w:spacing w:before="0"/>
    </w:pPr>
    <w:rPr>
      <w:rFonts w:cs="Times New Roman"/>
    </w:rPr>
  </w:style>
  <w:style w:type="character" w:customStyle="1" w:styleId="2ListeflchesCar">
    <w:name w:val="2 Liste flèches Car"/>
    <w:link w:val="2Listeflches"/>
    <w:rPr>
      <w:rFonts w:ascii="Marianne" w:hAnsi="Marianne"/>
      <w:sz w:val="22"/>
      <w:szCs w:val="24"/>
    </w:rPr>
  </w:style>
  <w:style w:type="paragraph" w:customStyle="1" w:styleId="2Listepoints">
    <w:name w:val="2 Liste points"/>
    <w:basedOn w:val="Normal"/>
    <w:link w:val="2ListepointsCar"/>
    <w:qFormat/>
    <w:pPr>
      <w:numPr>
        <w:numId w:val="22"/>
      </w:numPr>
      <w:spacing w:before="0"/>
    </w:pPr>
    <w:rPr>
      <w:rFonts w:cs="Times New Roman"/>
    </w:rPr>
  </w:style>
  <w:style w:type="character" w:customStyle="1" w:styleId="2ListepointsCar">
    <w:name w:val="2 Liste points Car"/>
    <w:link w:val="2Listepoints"/>
    <w:qFormat/>
    <w:rPr>
      <w:rFonts w:ascii="Marianne" w:hAnsi="Marianne"/>
      <w:sz w:val="22"/>
      <w:szCs w:val="24"/>
    </w:rPr>
  </w:style>
  <w:style w:type="paragraph" w:customStyle="1" w:styleId="2Listecarrs">
    <w:name w:val="2 Liste carrés"/>
    <w:basedOn w:val="Normal"/>
    <w:link w:val="2ListecarrsCar"/>
    <w:qFormat/>
    <w:pPr>
      <w:numPr>
        <w:numId w:val="23"/>
      </w:numPr>
      <w:ind w:left="1276" w:hanging="425"/>
    </w:pPr>
    <w:rPr>
      <w:rFonts w:cs="Times New Roman"/>
    </w:rPr>
  </w:style>
  <w:style w:type="character" w:customStyle="1" w:styleId="2ListecarrsCar">
    <w:name w:val="2 Liste carrés Car"/>
    <w:link w:val="2Listecarrs"/>
    <w:rPr>
      <w:rFonts w:ascii="Marianne" w:hAnsi="Marianne"/>
      <w:sz w:val="22"/>
      <w:szCs w:val="24"/>
    </w:rPr>
  </w:style>
  <w:style w:type="paragraph" w:customStyle="1" w:styleId="CCAP">
    <w:name w:val="CCAP"/>
    <w:basedOn w:val="Corpsdetexte3"/>
    <w:link w:val="TitrepagedegardeCar"/>
    <w:uiPriority w:val="3"/>
    <w:qFormat/>
    <w:pPr>
      <w:spacing w:after="0"/>
      <w:jc w:val="center"/>
    </w:pPr>
    <w:rPr>
      <w:rFonts w:ascii="Arial Gras" w:hAnsi="Arial Gras" w:cs="Times New Roman"/>
      <w:b/>
      <w:sz w:val="40"/>
      <w:szCs w:val="40"/>
    </w:rPr>
  </w:style>
  <w:style w:type="character" w:customStyle="1" w:styleId="TitrepagedegardeCar">
    <w:name w:val="Titre page de garde Car"/>
    <w:link w:val="CCAP"/>
    <w:uiPriority w:val="3"/>
    <w:rPr>
      <w:rFonts w:ascii="Arial Gras" w:hAnsi="Arial Gras" w:cs="Arial"/>
      <w:b/>
      <w:caps/>
      <w:sz w:val="40"/>
      <w:szCs w:val="40"/>
    </w:rPr>
  </w:style>
  <w:style w:type="paragraph" w:customStyle="1" w:styleId="Internetadresse">
    <w:name w:val="Internet adresse"/>
    <w:basedOn w:val="Normal"/>
    <w:link w:val="InternetadresseCar"/>
    <w:uiPriority w:val="3"/>
    <w:qFormat/>
    <w:pPr>
      <w:jc w:val="center"/>
    </w:pPr>
    <w:rPr>
      <w:rFonts w:cs="Times New Roman"/>
      <w:color w:val="0000FF"/>
      <w:u w:val="single"/>
    </w:rPr>
  </w:style>
  <w:style w:type="character" w:customStyle="1" w:styleId="InternetadresseCar">
    <w:name w:val="Internet adresse Car"/>
    <w:link w:val="Internetadresse"/>
    <w:uiPriority w:val="3"/>
    <w:rPr>
      <w:rFonts w:ascii="Arial" w:hAnsi="Arial" w:cs="Arial"/>
      <w:color w:val="0000FF"/>
      <w:sz w:val="22"/>
      <w:szCs w:val="24"/>
      <w:u w:val="single"/>
    </w:rPr>
  </w:style>
  <w:style w:type="paragraph" w:customStyle="1" w:styleId="2Centr">
    <w:name w:val="2 Centré"/>
    <w:basedOn w:val="Normal"/>
    <w:link w:val="2CentrCar"/>
    <w:uiPriority w:val="3"/>
    <w:qFormat/>
    <w:pPr>
      <w:spacing w:before="0" w:after="0"/>
      <w:jc w:val="center"/>
    </w:pPr>
    <w:rPr>
      <w:rFonts w:eastAsia="MS Mincho" w:cs="Times New Roman"/>
    </w:rPr>
  </w:style>
  <w:style w:type="character" w:customStyle="1" w:styleId="2CentrCar">
    <w:name w:val="2 Centré Car"/>
    <w:link w:val="2Centr"/>
    <w:uiPriority w:val="3"/>
    <w:rPr>
      <w:rFonts w:ascii="Arial" w:eastAsia="MS Mincho" w:hAnsi="Arial" w:cs="Arial"/>
      <w:sz w:val="22"/>
      <w:szCs w:val="24"/>
    </w:rPr>
  </w:style>
  <w:style w:type="paragraph" w:customStyle="1" w:styleId="2Listepetitscarrs">
    <w:name w:val="2 Liste petits carrés"/>
    <w:basedOn w:val="2Listecarrs"/>
    <w:link w:val="2ListepetitscarrsCar"/>
    <w:uiPriority w:val="3"/>
    <w:qFormat/>
    <w:pPr>
      <w:numPr>
        <w:numId w:val="24"/>
      </w:numPr>
      <w:spacing w:before="0"/>
      <w:ind w:left="1135" w:hanging="284"/>
    </w:pPr>
  </w:style>
  <w:style w:type="paragraph" w:customStyle="1" w:styleId="TitreANNEXE">
    <w:name w:val="Titre ANNEXE"/>
    <w:basedOn w:val="Titre1"/>
    <w:link w:val="TitreANNEXECar"/>
    <w:uiPriority w:val="3"/>
    <w:qFormat/>
    <w:pPr>
      <w:numPr>
        <w:numId w:val="0"/>
      </w:numPr>
      <w:spacing w:before="100" w:after="100"/>
    </w:pPr>
    <w:rPr>
      <w:rFonts w:ascii="Arial Gras" w:hAnsi="Arial Gras" w:cs="Times New Roman"/>
      <w:b w:val="0"/>
      <w:lang w:eastAsia="en-US"/>
    </w:rPr>
  </w:style>
  <w:style w:type="character" w:customStyle="1" w:styleId="2ListepetitscarrsCar">
    <w:name w:val="2 Liste petits carrés Car"/>
    <w:basedOn w:val="2ListecarrsCar"/>
    <w:link w:val="2Listepetitscarrs"/>
    <w:uiPriority w:val="3"/>
    <w:rPr>
      <w:rFonts w:ascii="Marianne" w:hAnsi="Marianne"/>
      <w:sz w:val="22"/>
      <w:szCs w:val="24"/>
    </w:rPr>
  </w:style>
  <w:style w:type="paragraph" w:customStyle="1" w:styleId="ANNEXE">
    <w:name w:val="ANNEXE"/>
    <w:basedOn w:val="Normal"/>
    <w:link w:val="ANNEXECar"/>
    <w:uiPriority w:val="3"/>
    <w:qFormat/>
    <w:pPr>
      <w:pageBreakBefore/>
      <w:pBdr>
        <w:top w:val="single" w:sz="4" w:space="2" w:color="000000"/>
        <w:bottom w:val="single" w:sz="4" w:space="2" w:color="000000"/>
      </w:pBdr>
      <w:spacing w:before="100" w:after="100"/>
      <w:jc w:val="center"/>
    </w:pPr>
    <w:rPr>
      <w:rFonts w:ascii="Arial Gras" w:hAnsi="Arial Gras" w:cs="Times New Roman"/>
      <w:b/>
      <w:caps/>
      <w:sz w:val="28"/>
      <w:szCs w:val="28"/>
      <w:lang w:eastAsia="en-US"/>
    </w:rPr>
  </w:style>
  <w:style w:type="character" w:customStyle="1" w:styleId="StylePremireligne063cmCar">
    <w:name w:val="Style Première ligne : 063 cm Car"/>
    <w:link w:val="StylePremireligne063cm"/>
    <w:rPr>
      <w:rFonts w:ascii="Arial" w:hAnsi="Arial" w:cs="Arial"/>
      <w:sz w:val="22"/>
      <w:szCs w:val="24"/>
      <w:lang w:eastAsia="en-US"/>
    </w:rPr>
  </w:style>
  <w:style w:type="character" w:customStyle="1" w:styleId="TitreANNEXECar">
    <w:name w:val="Titre ANNEXE Car"/>
    <w:link w:val="TitreANNEXE"/>
    <w:uiPriority w:val="3"/>
    <w:rPr>
      <w:rFonts w:ascii="Arial Gras" w:eastAsia="MS Mincho" w:hAnsi="Arial Gras" w:cs="Arial"/>
      <w:bCs/>
      <w:caps/>
      <w:sz w:val="28"/>
      <w:szCs w:val="28"/>
      <w:lang w:eastAsia="en-US"/>
    </w:rPr>
  </w:style>
  <w:style w:type="character" w:customStyle="1" w:styleId="ANNEXECar">
    <w:name w:val="ANNEXE Car"/>
    <w:link w:val="ANNEXE"/>
    <w:uiPriority w:val="3"/>
    <w:rPr>
      <w:rFonts w:ascii="Arial Gras" w:hAnsi="Arial Gras" w:cs="Arial"/>
      <w:b/>
      <w:caps/>
      <w:sz w:val="28"/>
      <w:szCs w:val="28"/>
      <w:lang w:eastAsia="en-US"/>
    </w:rPr>
  </w:style>
  <w:style w:type="character" w:customStyle="1" w:styleId="fontstyle01">
    <w:name w:val="fontstyle01"/>
    <w:rPr>
      <w:rFonts w:ascii="Arial" w:hAnsi="Arial" w:cs="Arial" w:hint="default"/>
      <w:b w:val="0"/>
      <w:bCs w:val="0"/>
      <w:i w:val="0"/>
      <w:iCs w:val="0"/>
      <w:color w:val="000000"/>
      <w:sz w:val="20"/>
      <w:szCs w:val="20"/>
    </w:rPr>
  </w:style>
  <w:style w:type="character" w:customStyle="1" w:styleId="fontstyle21">
    <w:name w:val="fontstyle21"/>
    <w:rPr>
      <w:rFonts w:ascii="Arial" w:hAnsi="Arial" w:cs="Arial" w:hint="default"/>
      <w:b/>
      <w:bCs/>
      <w:i/>
      <w:iCs/>
      <w:color w:val="000000"/>
      <w:sz w:val="20"/>
      <w:szCs w:val="20"/>
    </w:rPr>
  </w:style>
  <w:style w:type="character" w:customStyle="1" w:styleId="surlignage">
    <w:name w:val="surlignage"/>
    <w:basedOn w:val="Policepardfaut"/>
  </w:style>
  <w:style w:type="character" w:customStyle="1" w:styleId="En-tteCar">
    <w:name w:val="En-tête Car"/>
    <w:basedOn w:val="Policepardfaut"/>
    <w:link w:val="En-tte"/>
    <w:uiPriority w:val="99"/>
    <w:rPr>
      <w:rFonts w:ascii="Arial" w:hAnsi="Arial" w:cs="Arial"/>
      <w:i/>
      <w:sz w:val="16"/>
      <w:szCs w:val="24"/>
    </w:rPr>
  </w:style>
  <w:style w:type="paragraph" w:styleId="Explorateurdedocuments">
    <w:name w:val="Document Map"/>
    <w:basedOn w:val="Normal"/>
    <w:link w:val="ExplorateurdedocumentsCar"/>
    <w:uiPriority w:val="99"/>
    <w:semiHidden/>
    <w:unhideWhenUsed/>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Pr>
      <w:rFonts w:ascii="Tahoma" w:hAnsi="Tahoma" w:cs="Tahoma"/>
      <w:sz w:val="16"/>
      <w:szCs w:val="16"/>
    </w:rPr>
  </w:style>
  <w:style w:type="character" w:customStyle="1" w:styleId="CommentaireCar">
    <w:name w:val="Commentaire Car"/>
    <w:link w:val="Commentaire"/>
    <w:uiPriority w:val="99"/>
    <w:qFormat/>
    <w:rPr>
      <w:rFonts w:ascii="Arial" w:hAnsi="Arial" w:cs="Arial"/>
      <w:sz w:val="22"/>
      <w:szCs w:val="24"/>
    </w:rPr>
  </w:style>
  <w:style w:type="paragraph" w:customStyle="1" w:styleId="Pa0">
    <w:name w:val="Pa0"/>
    <w:basedOn w:val="Default"/>
    <w:next w:val="Default"/>
    <w:uiPriority w:val="99"/>
    <w:pPr>
      <w:spacing w:line="241" w:lineRule="atLeast"/>
    </w:pPr>
    <w:rPr>
      <w:rFonts w:ascii="Avenir Book" w:hAnsi="Avenir Book"/>
      <w:color w:val="auto"/>
      <w:szCs w:val="24"/>
    </w:rPr>
  </w:style>
  <w:style w:type="character" w:customStyle="1" w:styleId="A1">
    <w:name w:val="A1"/>
    <w:uiPriority w:val="99"/>
    <w:rPr>
      <w:rFonts w:cs="Avenir Book"/>
      <w:color w:val="000000"/>
      <w:sz w:val="18"/>
      <w:szCs w:val="18"/>
    </w:rPr>
  </w:style>
  <w:style w:type="paragraph" w:customStyle="1" w:styleId="PARAGENCADRE">
    <w:name w:val="PARAG ENCADRE"/>
    <w:basedOn w:val="Normal"/>
    <w:pPr>
      <w:pBdr>
        <w:top w:val="single" w:sz="6" w:space="1" w:color="000000"/>
        <w:left w:val="single" w:sz="6" w:space="1" w:color="000000"/>
        <w:bottom w:val="single" w:sz="6" w:space="1" w:color="000000"/>
        <w:right w:val="single" w:sz="6" w:space="1" w:color="000000"/>
      </w:pBdr>
      <w:shd w:val="pct5" w:color="auto" w:fill="auto"/>
      <w:tabs>
        <w:tab w:val="left" w:pos="6804"/>
      </w:tabs>
      <w:ind w:left="902" w:right="902"/>
      <w:jc w:val="center"/>
    </w:pPr>
    <w:rPr>
      <w:b/>
      <w:lang w:eastAsia="en-US"/>
    </w:rPr>
  </w:style>
  <w:style w:type="character" w:customStyle="1" w:styleId="NotedebasdepageCar">
    <w:name w:val="Note de bas de page Car"/>
    <w:link w:val="Notedebasdepage"/>
    <w:semiHidden/>
    <w:rPr>
      <w:rFonts w:ascii="Arial" w:hAnsi="Arial" w:cs="Arial"/>
      <w:sz w:val="16"/>
      <w:szCs w:val="24"/>
    </w:rPr>
  </w:style>
  <w:style w:type="character" w:customStyle="1" w:styleId="WW8Num28z3">
    <w:name w:val="WW8Num28z3"/>
    <w:uiPriority w:val="99"/>
    <w:rPr>
      <w:rFonts w:ascii="Symbol" w:hAnsi="Symbol"/>
    </w:rPr>
  </w:style>
  <w:style w:type="table" w:customStyle="1" w:styleId="Grilledutableau1">
    <w:name w:val="Grille du tableau1"/>
    <w:basedOn w:val="TableauNormal"/>
    <w:next w:val="Grilledutableau"/>
    <w:uiPriority w:val="59"/>
    <w:rPr>
      <w:rFonts w:ascii="Arial" w:eastAsiaTheme="minorHAnsi" w:hAnsi="Arial" w:cs="Arial"/>
      <w:spacing w:val="-2"/>
      <w:position w:val="6"/>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entete1">
    <w:name w:val="entete1"/>
    <w:pPr>
      <w:spacing w:line="336" w:lineRule="auto"/>
      <w:ind w:right="8277"/>
      <w:jc w:val="center"/>
    </w:pPr>
    <w:rPr>
      <w:rFonts w:ascii="Helvetica" w:hAnsi="Helvetica"/>
      <w:color w:val="808080"/>
      <w:sz w:val="16"/>
    </w:rPr>
  </w:style>
  <w:style w:type="character" w:customStyle="1" w:styleId="CommentaireCar1">
    <w:name w:val="Commentaire Car1"/>
    <w:basedOn w:val="Policepardfaut"/>
    <w:uiPriority w:val="99"/>
    <w:qFormat/>
    <w:rPr>
      <w:rFonts w:ascii="Times New Roman" w:hAnsi="Times New Roman"/>
      <w:sz w:val="20"/>
      <w:szCs w:val="20"/>
      <w:lang w:eastAsia="zh-CN"/>
    </w:rPr>
  </w:style>
  <w:style w:type="character" w:styleId="Textedelespacerserv">
    <w:name w:val="Placeholder Text"/>
    <w:basedOn w:val="Policepardfaut"/>
    <w:uiPriority w:val="99"/>
    <w:semiHidden/>
    <w:rPr>
      <w:color w:val="808080"/>
    </w:rPr>
  </w:style>
  <w:style w:type="character" w:customStyle="1" w:styleId="ParagraphedelisteCar">
    <w:name w:val="Paragraphe de liste Car"/>
    <w:basedOn w:val="Policepardfaut"/>
    <w:link w:val="Paragraphedeliste"/>
    <w:uiPriority w:val="34"/>
    <w:qFormat/>
    <w:rPr>
      <w:rFonts w:ascii="Marianne" w:eastAsia="Calibri" w:hAnsi="Marianne" w:cs="Arial"/>
      <w:sz w:val="22"/>
      <w:szCs w:val="24"/>
    </w:rPr>
  </w:style>
  <w:style w:type="character" w:customStyle="1" w:styleId="PieddepageCar">
    <w:name w:val="Pied de page Car"/>
    <w:basedOn w:val="Policepardfaut"/>
    <w:link w:val="Pieddepage"/>
    <w:uiPriority w:val="99"/>
    <w:rPr>
      <w:rFonts w:ascii="Marianne" w:hAnsi="Marianne" w:cs="Arial"/>
      <w:i/>
      <w:sz w:val="16"/>
      <w:szCs w:val="24"/>
    </w:rPr>
  </w:style>
  <w:style w:type="character" w:customStyle="1" w:styleId="ParagrapheCar">
    <w:name w:val="Paragraphe Car"/>
    <w:link w:val="Paragraphe"/>
    <w:rPr>
      <w:rFonts w:cs="Arial"/>
      <w:sz w:val="24"/>
      <w:szCs w:val="24"/>
    </w:rPr>
  </w:style>
  <w:style w:type="character" w:customStyle="1" w:styleId="FooterChar">
    <w:name w:val="Footer Char"/>
    <w:basedOn w:val="Policepardfaut"/>
    <w:link w:val="Pieddepage1"/>
    <w:uiPriority w:val="99"/>
    <w:qFormat/>
    <w:rPr>
      <w:color w:val="00000A"/>
    </w:rPr>
  </w:style>
  <w:style w:type="paragraph" w:customStyle="1" w:styleId="Pieddepage1">
    <w:name w:val="Pied de page1"/>
    <w:basedOn w:val="Normal"/>
    <w:link w:val="FooterChar"/>
    <w:uiPriority w:val="99"/>
    <w:qFormat/>
    <w:pPr>
      <w:tabs>
        <w:tab w:val="center" w:pos="4536"/>
        <w:tab w:val="right" w:pos="9072"/>
      </w:tabs>
      <w:spacing w:before="240" w:after="0"/>
      <w:ind w:left="142" w:right="227"/>
    </w:pPr>
    <w:rPr>
      <w:rFonts w:ascii="Times New Roman" w:hAnsi="Times New Roman" w:cs="Times New Roman"/>
      <w:color w:val="00000A"/>
      <w:sz w:val="20"/>
      <w:szCs w:val="20"/>
    </w:rPr>
  </w:style>
  <w:style w:type="character" w:customStyle="1" w:styleId="Titre3Car">
    <w:name w:val="Titre 3 Car"/>
    <w:basedOn w:val="Policepardfaut"/>
    <w:link w:val="Titre3"/>
    <w:rPr>
      <w:rFonts w:ascii="Arial Gras" w:eastAsia="MS Mincho" w:hAnsi="Arial Gras" w:cs="Arial"/>
      <w:b/>
      <w:bCs/>
      <w:sz w:val="22"/>
      <w:szCs w:val="26"/>
      <w:u w:val="single"/>
    </w:rPr>
  </w:style>
  <w:style w:type="character" w:styleId="Rfrenceple">
    <w:name w:val="Subtle Reference"/>
    <w:basedOn w:val="Policepardfaut"/>
    <w:uiPriority w:val="31"/>
    <w:qFormat/>
    <w:rPr>
      <w:smallCaps/>
      <w:color w:val="C0504D" w:themeColor="accent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mailto:nepasr&#233;pondre@marches-publics.gouv.fr" TargetMode="External"/><Relationship Id="rId18" Type="http://schemas.openxmlformats.org/officeDocument/2006/relationships/hyperlink" Target="http://www.impots.gouv.fr/" TargetMode="External"/><Relationship Id="rId26" Type="http://schemas.openxmlformats.org/officeDocument/2006/relationships/hyperlink" Target="https://www.ssi.gouv.fr/administration/visa-de-securite/visas-de-securite-le-catalogue/" TargetMode="External"/><Relationship Id="rId39" Type="http://schemas.microsoft.com/office/2016/09/relationships/commentsIds" Target="commentsIds.xml"/><Relationship Id="rId3" Type="http://schemas.openxmlformats.org/officeDocument/2006/relationships/styles" Target="styles.xml"/><Relationship Id="rId21" Type="http://schemas.openxmlformats.org/officeDocument/2006/relationships/hyperlink" Target="mailto:greffe.ta-paris@juradm.fr"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mailto:sailmi-services-fournitures-generales@interieur.gouv.fr" TargetMode="External"/><Relationship Id="rId25" Type="http://schemas.openxmlformats.org/officeDocument/2006/relationships/hyperlink" Target="https://www.marches-publics.gouv.fr/?page=entreprise.AccueilEntreprise" TargetMode="External"/><Relationship Id="rId2" Type="http://schemas.openxmlformats.org/officeDocument/2006/relationships/numbering" Target="numbering.xml"/><Relationship Id="rId16" Type="http://schemas.openxmlformats.org/officeDocument/2006/relationships/hyperlink" Target="https://www.marches-publics.gouv.fr/entreprise" TargetMode="External"/><Relationship Id="rId20" Type="http://schemas.openxmlformats.org/officeDocument/2006/relationships/hyperlink" Target="https://www.e-attestations.co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www.marches-publics.gouv.fr/?page=entreprise.AccueilEntreprise" TargetMode="External"/><Relationship Id="rId5" Type="http://schemas.openxmlformats.org/officeDocument/2006/relationships/webSettings" Target="webSettings.xml"/><Relationship Id="rId15" Type="http://schemas.openxmlformats.org/officeDocument/2006/relationships/hyperlink" Target="https://www.marches-publics.gouv.fr/entreprise" TargetMode="External"/><Relationship Id="rId23" Type="http://schemas.openxmlformats.org/officeDocument/2006/relationships/hyperlink" Target="mailto:donn&#233;es-personnelles-depafi@interieur.gouv.fr" TargetMode="External"/><Relationship Id="rId28" Type="http://schemas.openxmlformats.org/officeDocument/2006/relationships/footer" Target="footer4.xml"/><Relationship Id="rId10" Type="http://schemas.openxmlformats.org/officeDocument/2006/relationships/footer" Target="footer1.xml"/><Relationship Id="rId19" Type="http://schemas.openxmlformats.org/officeDocument/2006/relationships/hyperlink" Target="https://mon.urssaf.fr/"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marches-publics.gouv.fr/entreprise" TargetMode="External"/><Relationship Id="rId22" Type="http://schemas.openxmlformats.org/officeDocument/2006/relationships/hyperlink" Target="https://paris.tribunal-administratif.fr/" TargetMode="External"/><Relationship Id="rId27" Type="http://schemas.openxmlformats.org/officeDocument/2006/relationships/footer" Target="footer3.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www.marches-publics.gouv.fr/?page=entreprise.EntrepriseGuide" TargetMode="External"/><Relationship Id="rId1" Type="http://schemas.openxmlformats.org/officeDocument/2006/relationships/hyperlink" Target="https://www.marches-publics.gouv.fr/?page=entreprise.EntrepriseGuide"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BE5B18-0C50-482D-ABEB-35599BA4B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33</Pages>
  <Words>11238</Words>
  <Characters>61815</Characters>
  <Application>Microsoft Office Word</Application>
  <DocSecurity>0</DocSecurity>
  <Lines>515</Lines>
  <Paragraphs>145</Paragraphs>
  <ScaleCrop>false</ScaleCrop>
  <HeadingPairs>
    <vt:vector size="2" baseType="variant">
      <vt:variant>
        <vt:lpstr>Titre</vt:lpstr>
      </vt:variant>
      <vt:variant>
        <vt:i4>1</vt:i4>
      </vt:variant>
    </vt:vector>
  </HeadingPairs>
  <TitlesOfParts>
    <vt:vector size="1" baseType="lpstr">
      <vt:lpstr/>
    </vt:vector>
  </TitlesOfParts>
  <Company>MI</Company>
  <LinksUpToDate>false</LinksUpToDate>
  <CharactersWithSpaces>72908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DUBAN</dc:creator>
  <cp:lastModifiedBy>JOSEPH Yann</cp:lastModifiedBy>
  <cp:revision>6</cp:revision>
  <dcterms:created xsi:type="dcterms:W3CDTF">2025-07-24T13:07:00Z</dcterms:created>
  <dcterms:modified xsi:type="dcterms:W3CDTF">2025-08-20T08:38:00Z</dcterms:modified>
</cp:coreProperties>
</file>